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C3DEA" w14:textId="5552E647" w:rsidR="00787CF0" w:rsidRPr="00B47D79" w:rsidRDefault="00B44A0D" w:rsidP="004024CE">
      <w:pPr>
        <w:pStyle w:val="Heading2"/>
      </w:pPr>
      <w:r w:rsidRPr="00B47D79">
        <w:t>The registry is responsible for the administration of the Commission.</w:t>
      </w:r>
    </w:p>
    <w:p w14:paraId="476CEECF" w14:textId="77777777" w:rsidR="008021C9" w:rsidRDefault="008021C9" w:rsidP="00901E4A"/>
    <w:p w14:paraId="7008F20C" w14:textId="781136B6" w:rsidR="00E15584" w:rsidRPr="00E15584" w:rsidRDefault="00E15584" w:rsidP="004024CE">
      <w:pPr>
        <w:pStyle w:val="Heading3"/>
        <w:rPr>
          <w:i/>
        </w:rPr>
      </w:pPr>
      <w:r w:rsidRPr="00E15584">
        <w:t>Operations</w:t>
      </w:r>
    </w:p>
    <w:p w14:paraId="223A9E83" w14:textId="27F7CD46" w:rsidR="00E15584" w:rsidRDefault="00E15584" w:rsidP="004024CE">
      <w:pPr>
        <w:rPr>
          <w:lang w:val="en-US"/>
        </w:rPr>
      </w:pPr>
      <w:r w:rsidRPr="00E15584">
        <w:rPr>
          <w:lang w:val="en-US"/>
        </w:rPr>
        <w:t xml:space="preserve">During the 2019-20 fiscal year the Commission </w:t>
      </w:r>
      <w:r w:rsidRPr="00460C42">
        <w:rPr>
          <w:lang w:val="en-US"/>
        </w:rPr>
        <w:t>received 7,</w:t>
      </w:r>
      <w:r w:rsidR="00460C42" w:rsidRPr="00460C42">
        <w:rPr>
          <w:lang w:val="en-US"/>
        </w:rPr>
        <w:t>348</w:t>
      </w:r>
      <w:r w:rsidRPr="00460C42">
        <w:rPr>
          <w:lang w:val="en-US"/>
        </w:rPr>
        <w:t xml:space="preserve"> notices of which 4,9</w:t>
      </w:r>
      <w:r w:rsidR="00460C42" w:rsidRPr="00460C42">
        <w:rPr>
          <w:lang w:val="en-US"/>
        </w:rPr>
        <w:t>41</w:t>
      </w:r>
      <w:r w:rsidRPr="00E15584">
        <w:rPr>
          <w:lang w:val="en-US"/>
        </w:rPr>
        <w:t xml:space="preserve"> were within the Commission’s jurisdiction. </w:t>
      </w:r>
      <w:r w:rsidR="000D3DFB">
        <w:rPr>
          <w:lang w:val="en-US"/>
        </w:rPr>
        <w:t>T</w:t>
      </w:r>
      <w:r w:rsidRPr="00E15584">
        <w:rPr>
          <w:lang w:val="en-US"/>
        </w:rPr>
        <w:t xml:space="preserve">he occurrence of COVID-19 and required social distancing and lockdowns affected the operations of many </w:t>
      </w:r>
      <w:r w:rsidR="00B53727">
        <w:rPr>
          <w:lang w:val="en-US"/>
        </w:rPr>
        <w:t>g</w:t>
      </w:r>
      <w:r w:rsidRPr="00E15584">
        <w:rPr>
          <w:lang w:val="en-US"/>
        </w:rPr>
        <w:t xml:space="preserve">overnment departments. One of the results of the pandemic </w:t>
      </w:r>
      <w:r w:rsidR="000D3DFB">
        <w:rPr>
          <w:lang w:val="en-US"/>
        </w:rPr>
        <w:t xml:space="preserve">for the Commission </w:t>
      </w:r>
      <w:r w:rsidRPr="00E15584">
        <w:rPr>
          <w:lang w:val="en-US"/>
        </w:rPr>
        <w:t xml:space="preserve">was a decrease in notices received from the 2018-19 year. The majority of notices received this financial year were for </w:t>
      </w:r>
      <w:r w:rsidR="00747721">
        <w:rPr>
          <w:lang w:val="en-US"/>
        </w:rPr>
        <w:t>s</w:t>
      </w:r>
      <w:r w:rsidRPr="00E15584">
        <w:rPr>
          <w:lang w:val="en-US"/>
        </w:rPr>
        <w:t xml:space="preserve">chool </w:t>
      </w:r>
      <w:r w:rsidR="00747721">
        <w:rPr>
          <w:lang w:val="en-US"/>
        </w:rPr>
        <w:t>a</w:t>
      </w:r>
      <w:r w:rsidRPr="00E15584">
        <w:rPr>
          <w:lang w:val="en-US"/>
        </w:rPr>
        <w:t xml:space="preserve">ttendance, followed by Magistrate Court, </w:t>
      </w:r>
      <w:r w:rsidR="003B2189">
        <w:rPr>
          <w:lang w:val="en-US"/>
        </w:rPr>
        <w:t>c</w:t>
      </w:r>
      <w:r w:rsidRPr="00E15584">
        <w:rPr>
          <w:lang w:val="en-US"/>
        </w:rPr>
        <w:t xml:space="preserve">hild </w:t>
      </w:r>
      <w:r w:rsidR="003B2189">
        <w:rPr>
          <w:lang w:val="en-US"/>
        </w:rPr>
        <w:t>s</w:t>
      </w:r>
      <w:r w:rsidRPr="00E15584">
        <w:rPr>
          <w:lang w:val="en-US"/>
        </w:rPr>
        <w:t xml:space="preserve">afety and </w:t>
      </w:r>
      <w:r w:rsidR="003B2189">
        <w:rPr>
          <w:lang w:val="en-US"/>
        </w:rPr>
        <w:t>w</w:t>
      </w:r>
      <w:r w:rsidRPr="00E15584">
        <w:rPr>
          <w:lang w:val="en-US"/>
        </w:rPr>
        <w:t xml:space="preserve">elfare and then </w:t>
      </w:r>
      <w:r w:rsidR="003B2189">
        <w:rPr>
          <w:lang w:val="en-US"/>
        </w:rPr>
        <w:t>d</w:t>
      </w:r>
      <w:r w:rsidRPr="00E15584">
        <w:rPr>
          <w:lang w:val="en-US"/>
        </w:rPr>
        <w:t xml:space="preserve">omestic </w:t>
      </w:r>
      <w:r w:rsidR="003B2189">
        <w:rPr>
          <w:lang w:val="en-US"/>
        </w:rPr>
        <w:t>v</w:t>
      </w:r>
      <w:r w:rsidRPr="00E15584">
        <w:rPr>
          <w:lang w:val="en-US"/>
        </w:rPr>
        <w:t xml:space="preserve">iolence offences. </w:t>
      </w:r>
      <w:r w:rsidRPr="003D4370">
        <w:rPr>
          <w:lang w:val="en-US"/>
        </w:rPr>
        <w:t>Information regarding our performance during the year is located in</w:t>
      </w:r>
      <w:r w:rsidR="007B1C1D" w:rsidRPr="003D4370">
        <w:rPr>
          <w:lang w:val="en-US"/>
        </w:rPr>
        <w:t xml:space="preserve"> the</w:t>
      </w:r>
      <w:r w:rsidRPr="003D4370">
        <w:rPr>
          <w:lang w:val="en-US"/>
        </w:rPr>
        <w:t xml:space="preserve"> </w:t>
      </w:r>
      <w:r w:rsidR="00806970">
        <w:rPr>
          <w:lang w:val="en-US"/>
        </w:rPr>
        <w:t>R</w:t>
      </w:r>
      <w:r w:rsidR="007B1C1D" w:rsidRPr="003D4370">
        <w:rPr>
          <w:lang w:val="en-US"/>
        </w:rPr>
        <w:t>eview of non-financial perf</w:t>
      </w:r>
      <w:r w:rsidR="00813A34" w:rsidRPr="003D4370">
        <w:rPr>
          <w:lang w:val="en-US"/>
        </w:rPr>
        <w:t>or</w:t>
      </w:r>
      <w:r w:rsidR="007B1C1D" w:rsidRPr="003D4370">
        <w:rPr>
          <w:lang w:val="en-US"/>
        </w:rPr>
        <w:t xml:space="preserve">mance </w:t>
      </w:r>
      <w:r w:rsidR="00860CF2">
        <w:rPr>
          <w:lang w:val="en-US"/>
        </w:rPr>
        <w:t xml:space="preserve">commencing on </w:t>
      </w:r>
      <w:r w:rsidR="007B1C1D" w:rsidRPr="003D4370">
        <w:rPr>
          <w:lang w:val="en-US"/>
        </w:rPr>
        <w:t>page 1</w:t>
      </w:r>
      <w:r w:rsidR="00CC111D" w:rsidRPr="003D4370">
        <w:rPr>
          <w:lang w:val="en-US"/>
        </w:rPr>
        <w:t>9</w:t>
      </w:r>
      <w:r w:rsidR="007B1C1D" w:rsidRPr="003D4370">
        <w:rPr>
          <w:lang w:val="en-US"/>
        </w:rPr>
        <w:t xml:space="preserve"> and the </w:t>
      </w:r>
      <w:r w:rsidR="00806970">
        <w:rPr>
          <w:lang w:val="en-US"/>
        </w:rPr>
        <w:t>R</w:t>
      </w:r>
      <w:r w:rsidR="007B1C1D" w:rsidRPr="003D4370">
        <w:rPr>
          <w:lang w:val="en-US"/>
        </w:rPr>
        <w:t xml:space="preserve">eview of financial performance </w:t>
      </w:r>
      <w:r w:rsidR="00860CF2">
        <w:rPr>
          <w:lang w:val="en-US"/>
        </w:rPr>
        <w:t xml:space="preserve">commencing </w:t>
      </w:r>
      <w:r w:rsidR="007B1C1D" w:rsidRPr="003D4370">
        <w:rPr>
          <w:lang w:val="en-US"/>
        </w:rPr>
        <w:t>on page 30</w:t>
      </w:r>
      <w:r w:rsidR="00900CED">
        <w:rPr>
          <w:lang w:val="en-US"/>
        </w:rPr>
        <w:t>.</w:t>
      </w:r>
    </w:p>
    <w:p w14:paraId="474C528C" w14:textId="77777777" w:rsidR="00F81BE8" w:rsidRPr="00E15584" w:rsidRDefault="00F81BE8" w:rsidP="004024CE"/>
    <w:p w14:paraId="4DE12CC6" w14:textId="4A505954" w:rsidR="00E15584" w:rsidRPr="00460C42" w:rsidRDefault="00E15584" w:rsidP="004024CE">
      <w:pPr>
        <w:rPr>
          <w:b/>
          <w:bCs/>
        </w:rPr>
      </w:pPr>
      <w:r w:rsidRPr="00460C42">
        <w:rPr>
          <w:b/>
          <w:bCs/>
        </w:rPr>
        <w:t xml:space="preserve">At a glance </w:t>
      </w:r>
      <w:r w:rsidR="00993E87" w:rsidRPr="00112E6D">
        <w:t>–</w:t>
      </w:r>
      <w:r w:rsidR="00327C84" w:rsidRPr="00460C42">
        <w:rPr>
          <w:b/>
          <w:bCs/>
        </w:rPr>
        <w:t xml:space="preserve"> </w:t>
      </w:r>
      <w:r w:rsidRPr="00460C42">
        <w:rPr>
          <w:b/>
          <w:bCs/>
        </w:rPr>
        <w:t>the 2019-20 year</w:t>
      </w:r>
    </w:p>
    <w:tbl>
      <w:tblPr>
        <w:tblStyle w:val="TableGrid"/>
        <w:tblW w:w="9067" w:type="dxa"/>
        <w:tblLook w:val="04A0" w:firstRow="1" w:lastRow="0" w:firstColumn="1" w:lastColumn="0" w:noHBand="0" w:noVBand="1"/>
      </w:tblPr>
      <w:tblGrid>
        <w:gridCol w:w="2831"/>
        <w:gridCol w:w="2831"/>
        <w:gridCol w:w="3405"/>
      </w:tblGrid>
      <w:tr w:rsidR="00E15584" w:rsidRPr="00E15584" w14:paraId="0DEE5C7D" w14:textId="77777777" w:rsidTr="00761A1D">
        <w:tc>
          <w:tcPr>
            <w:tcW w:w="2831" w:type="dxa"/>
          </w:tcPr>
          <w:p w14:paraId="527F8F1B" w14:textId="1AF9CE60" w:rsidR="00E15584" w:rsidRPr="00460C42" w:rsidRDefault="00E15584" w:rsidP="004024CE">
            <w:pPr>
              <w:rPr>
                <w:rFonts w:eastAsiaTheme="minorHAnsi"/>
                <w:b/>
                <w:bCs/>
                <w:lang w:eastAsia="en-US"/>
              </w:rPr>
            </w:pPr>
            <w:r w:rsidRPr="00460C42">
              <w:rPr>
                <w:rFonts w:eastAsiaTheme="minorHAnsi"/>
                <w:b/>
                <w:bCs/>
                <w:lang w:eastAsia="en-US"/>
              </w:rPr>
              <w:t>7,</w:t>
            </w:r>
            <w:r w:rsidR="00D778FD" w:rsidRPr="00460C42">
              <w:rPr>
                <w:rFonts w:eastAsiaTheme="minorHAnsi"/>
                <w:b/>
                <w:bCs/>
                <w:lang w:eastAsia="en-US"/>
              </w:rPr>
              <w:t>348</w:t>
            </w:r>
          </w:p>
          <w:p w14:paraId="02A1DD39" w14:textId="73096E62" w:rsidR="00E15584" w:rsidRPr="00E15584" w:rsidRDefault="00E15584" w:rsidP="004024CE">
            <w:pPr>
              <w:rPr>
                <w:rFonts w:eastAsiaTheme="minorHAnsi"/>
                <w:lang w:eastAsia="en-US"/>
              </w:rPr>
            </w:pPr>
            <w:r w:rsidRPr="00E15584">
              <w:rPr>
                <w:rFonts w:eastAsiaTheme="minorHAnsi"/>
                <w:lang w:eastAsia="en-US"/>
              </w:rPr>
              <w:t xml:space="preserve">Agency </w:t>
            </w:r>
            <w:r w:rsidR="00327C84">
              <w:rPr>
                <w:rFonts w:eastAsiaTheme="minorHAnsi"/>
                <w:lang w:eastAsia="en-US"/>
              </w:rPr>
              <w:t>n</w:t>
            </w:r>
            <w:r w:rsidRPr="00E15584">
              <w:rPr>
                <w:rFonts w:eastAsiaTheme="minorHAnsi"/>
                <w:lang w:eastAsia="en-US"/>
              </w:rPr>
              <w:t>otices assessed</w:t>
            </w:r>
          </w:p>
        </w:tc>
        <w:tc>
          <w:tcPr>
            <w:tcW w:w="2831" w:type="dxa"/>
          </w:tcPr>
          <w:p w14:paraId="16B08217" w14:textId="7C6EE801" w:rsidR="00E15584" w:rsidRPr="00460C42" w:rsidRDefault="00E15584" w:rsidP="004024CE">
            <w:pPr>
              <w:rPr>
                <w:rFonts w:eastAsiaTheme="minorHAnsi"/>
                <w:b/>
                <w:bCs/>
                <w:lang w:eastAsia="en-US"/>
              </w:rPr>
            </w:pPr>
            <w:r w:rsidRPr="00460C42">
              <w:rPr>
                <w:rFonts w:eastAsiaTheme="minorHAnsi"/>
                <w:b/>
                <w:bCs/>
                <w:lang w:eastAsia="en-US"/>
              </w:rPr>
              <w:t>4,9</w:t>
            </w:r>
            <w:r w:rsidR="00D778FD" w:rsidRPr="00460C42">
              <w:rPr>
                <w:rFonts w:eastAsiaTheme="minorHAnsi"/>
                <w:b/>
                <w:bCs/>
                <w:lang w:eastAsia="en-US"/>
              </w:rPr>
              <w:t>41</w:t>
            </w:r>
          </w:p>
          <w:p w14:paraId="0C7B708C" w14:textId="6A13EA1E" w:rsidR="00E15584" w:rsidRPr="00E15584" w:rsidRDefault="00E15584" w:rsidP="004024CE">
            <w:pPr>
              <w:rPr>
                <w:rFonts w:eastAsiaTheme="minorHAnsi"/>
                <w:lang w:eastAsia="en-US"/>
              </w:rPr>
            </w:pPr>
            <w:r w:rsidRPr="00E15584">
              <w:rPr>
                <w:rFonts w:eastAsiaTheme="minorHAnsi"/>
                <w:lang w:eastAsia="en-US"/>
              </w:rPr>
              <w:t xml:space="preserve">Agency </w:t>
            </w:r>
            <w:r w:rsidR="00327C84">
              <w:rPr>
                <w:rFonts w:eastAsiaTheme="minorHAnsi"/>
                <w:lang w:eastAsia="en-US"/>
              </w:rPr>
              <w:t>n</w:t>
            </w:r>
            <w:r w:rsidRPr="00E15584">
              <w:rPr>
                <w:rFonts w:eastAsiaTheme="minorHAnsi"/>
                <w:lang w:eastAsia="en-US"/>
              </w:rPr>
              <w:t>otices deemed within FRC’s jurisdiction</w:t>
            </w:r>
          </w:p>
        </w:tc>
        <w:tc>
          <w:tcPr>
            <w:tcW w:w="3405" w:type="dxa"/>
          </w:tcPr>
          <w:p w14:paraId="76995A36" w14:textId="45C768DF" w:rsidR="00E15584" w:rsidRPr="00460C42" w:rsidRDefault="00E15584" w:rsidP="004024CE">
            <w:pPr>
              <w:rPr>
                <w:rFonts w:eastAsiaTheme="minorHAnsi"/>
                <w:b/>
                <w:bCs/>
                <w:lang w:eastAsia="en-US"/>
              </w:rPr>
            </w:pPr>
            <w:r w:rsidRPr="00460C42">
              <w:rPr>
                <w:rFonts w:eastAsiaTheme="minorHAnsi"/>
                <w:b/>
                <w:bCs/>
                <w:lang w:eastAsia="en-US"/>
              </w:rPr>
              <w:t>1,21</w:t>
            </w:r>
            <w:r w:rsidR="00D778FD" w:rsidRPr="00460C42">
              <w:rPr>
                <w:rFonts w:eastAsiaTheme="minorHAnsi"/>
                <w:b/>
                <w:bCs/>
                <w:lang w:eastAsia="en-US"/>
              </w:rPr>
              <w:t>7</w:t>
            </w:r>
          </w:p>
          <w:p w14:paraId="7426C206" w14:textId="2B11E7F8" w:rsidR="00E15584" w:rsidRPr="00E15584" w:rsidRDefault="00327C84" w:rsidP="004024CE">
            <w:pPr>
              <w:rPr>
                <w:rFonts w:eastAsiaTheme="minorHAnsi"/>
                <w:lang w:eastAsia="en-US"/>
              </w:rPr>
            </w:pPr>
            <w:r>
              <w:rPr>
                <w:rFonts w:eastAsiaTheme="minorHAnsi"/>
                <w:lang w:eastAsia="en-US"/>
              </w:rPr>
              <w:t>C</w:t>
            </w:r>
            <w:r w:rsidR="00E15584" w:rsidRPr="00E15584">
              <w:rPr>
                <w:rFonts w:eastAsiaTheme="minorHAnsi"/>
                <w:lang w:eastAsia="en-US"/>
              </w:rPr>
              <w:t xml:space="preserve">ommunity members deemed the subject of </w:t>
            </w:r>
            <w:r w:rsidR="004D0053">
              <w:rPr>
                <w:rFonts w:eastAsiaTheme="minorHAnsi"/>
                <w:lang w:eastAsia="en-US"/>
              </w:rPr>
              <w:t>a</w:t>
            </w:r>
            <w:r w:rsidR="00E15584" w:rsidRPr="00E15584">
              <w:rPr>
                <w:rFonts w:eastAsiaTheme="minorHAnsi"/>
                <w:lang w:eastAsia="en-US"/>
              </w:rPr>
              <w:t xml:space="preserve">gency </w:t>
            </w:r>
            <w:r w:rsidR="004D0053">
              <w:rPr>
                <w:rFonts w:eastAsiaTheme="minorHAnsi"/>
                <w:lang w:eastAsia="en-US"/>
              </w:rPr>
              <w:t>n</w:t>
            </w:r>
            <w:r w:rsidR="00E15584" w:rsidRPr="00E15584">
              <w:rPr>
                <w:rFonts w:eastAsiaTheme="minorHAnsi"/>
                <w:lang w:eastAsia="en-US"/>
              </w:rPr>
              <w:t xml:space="preserve">otices </w:t>
            </w:r>
          </w:p>
        </w:tc>
      </w:tr>
      <w:tr w:rsidR="00E15584" w:rsidRPr="00E15584" w14:paraId="2D21FF1A" w14:textId="77777777" w:rsidTr="00761A1D">
        <w:tc>
          <w:tcPr>
            <w:tcW w:w="2831" w:type="dxa"/>
          </w:tcPr>
          <w:p w14:paraId="0C5EE814" w14:textId="77777777" w:rsidR="00E15584" w:rsidRPr="00460C42" w:rsidRDefault="00E15584" w:rsidP="004024CE">
            <w:pPr>
              <w:rPr>
                <w:rFonts w:eastAsiaTheme="minorHAnsi"/>
                <w:b/>
                <w:bCs/>
                <w:lang w:eastAsia="en-US"/>
              </w:rPr>
            </w:pPr>
            <w:r w:rsidRPr="00460C42">
              <w:rPr>
                <w:rFonts w:eastAsiaTheme="minorHAnsi"/>
                <w:b/>
                <w:bCs/>
                <w:lang w:eastAsia="en-US"/>
              </w:rPr>
              <w:t>2,228</w:t>
            </w:r>
          </w:p>
          <w:p w14:paraId="2FF9F160" w14:textId="7EAC5442" w:rsidR="00E15584" w:rsidRPr="00E15584" w:rsidRDefault="00327C84" w:rsidP="004024CE">
            <w:pPr>
              <w:rPr>
                <w:rFonts w:eastAsiaTheme="minorHAnsi"/>
                <w:lang w:eastAsia="en-US"/>
              </w:rPr>
            </w:pPr>
            <w:r>
              <w:rPr>
                <w:rFonts w:eastAsiaTheme="minorHAnsi"/>
                <w:lang w:eastAsia="en-US"/>
              </w:rPr>
              <w:t>C</w:t>
            </w:r>
            <w:r w:rsidR="00E15584" w:rsidRPr="00E15584">
              <w:rPr>
                <w:rFonts w:eastAsiaTheme="minorHAnsi"/>
                <w:lang w:eastAsia="en-US"/>
              </w:rPr>
              <w:t>onferences held</w:t>
            </w:r>
          </w:p>
        </w:tc>
        <w:tc>
          <w:tcPr>
            <w:tcW w:w="2831" w:type="dxa"/>
          </w:tcPr>
          <w:p w14:paraId="22ADCCDD" w14:textId="630BBF9C" w:rsidR="00E15584" w:rsidRPr="00460C42" w:rsidRDefault="00E15584" w:rsidP="004024CE">
            <w:pPr>
              <w:rPr>
                <w:rFonts w:eastAsiaTheme="minorHAnsi"/>
                <w:b/>
                <w:bCs/>
                <w:lang w:eastAsia="en-US"/>
              </w:rPr>
            </w:pPr>
            <w:r w:rsidRPr="00460C42">
              <w:rPr>
                <w:rFonts w:eastAsiaTheme="minorHAnsi"/>
                <w:b/>
                <w:bCs/>
                <w:lang w:eastAsia="en-US"/>
              </w:rPr>
              <w:t>81</w:t>
            </w:r>
            <w:r w:rsidR="00D778FD" w:rsidRPr="00460C42">
              <w:rPr>
                <w:rFonts w:eastAsiaTheme="minorHAnsi"/>
                <w:b/>
                <w:bCs/>
                <w:lang w:eastAsia="en-US"/>
              </w:rPr>
              <w:t>1</w:t>
            </w:r>
          </w:p>
          <w:p w14:paraId="0098FDBA" w14:textId="303E8489" w:rsidR="00E15584" w:rsidRPr="00E15584" w:rsidRDefault="00327C84" w:rsidP="004024CE">
            <w:pPr>
              <w:rPr>
                <w:rFonts w:eastAsiaTheme="minorHAnsi"/>
                <w:lang w:eastAsia="en-US"/>
              </w:rPr>
            </w:pPr>
            <w:r>
              <w:rPr>
                <w:rFonts w:eastAsiaTheme="minorHAnsi"/>
                <w:lang w:eastAsia="en-US"/>
              </w:rPr>
              <w:t>C</w:t>
            </w:r>
            <w:r w:rsidR="00E15584" w:rsidRPr="00E15584">
              <w:rPr>
                <w:rFonts w:eastAsiaTheme="minorHAnsi"/>
                <w:lang w:eastAsia="en-US"/>
              </w:rPr>
              <w:t>ommunity members prioritised for conference</w:t>
            </w:r>
          </w:p>
        </w:tc>
        <w:tc>
          <w:tcPr>
            <w:tcW w:w="3405" w:type="dxa"/>
          </w:tcPr>
          <w:p w14:paraId="084A67F8" w14:textId="77777777" w:rsidR="00E15584" w:rsidRPr="00460C42" w:rsidRDefault="00E15584" w:rsidP="004024CE">
            <w:pPr>
              <w:rPr>
                <w:rFonts w:eastAsiaTheme="minorHAnsi"/>
                <w:b/>
                <w:bCs/>
                <w:lang w:eastAsia="en-US"/>
              </w:rPr>
            </w:pPr>
            <w:r w:rsidRPr="00460C42">
              <w:rPr>
                <w:rFonts w:eastAsiaTheme="minorHAnsi"/>
                <w:b/>
                <w:bCs/>
                <w:lang w:eastAsia="en-US"/>
              </w:rPr>
              <w:t>0</w:t>
            </w:r>
          </w:p>
          <w:p w14:paraId="29834CB2" w14:textId="329CD0A3" w:rsidR="00E15584" w:rsidRPr="00E15584" w:rsidRDefault="00A60A46" w:rsidP="004024CE">
            <w:pPr>
              <w:rPr>
                <w:rFonts w:eastAsiaTheme="minorHAnsi"/>
                <w:lang w:eastAsia="en-US"/>
              </w:rPr>
            </w:pPr>
            <w:r>
              <w:rPr>
                <w:rFonts w:eastAsiaTheme="minorHAnsi"/>
                <w:lang w:eastAsia="en-US"/>
              </w:rPr>
              <w:t>A</w:t>
            </w:r>
            <w:r w:rsidR="00E15584" w:rsidRPr="00E15584">
              <w:rPr>
                <w:rFonts w:eastAsiaTheme="minorHAnsi"/>
                <w:lang w:eastAsia="en-US"/>
              </w:rPr>
              <w:t>ppeals of FRC decisions</w:t>
            </w:r>
          </w:p>
        </w:tc>
      </w:tr>
    </w:tbl>
    <w:p w14:paraId="7D7E0251" w14:textId="77777777" w:rsidR="00BE789C" w:rsidRDefault="00BE789C" w:rsidP="004024CE"/>
    <w:p w14:paraId="21D6DF2A" w14:textId="2066B2E2" w:rsidR="00E15584" w:rsidRPr="00E15584" w:rsidRDefault="00E15584" w:rsidP="004024CE">
      <w:pPr>
        <w:pStyle w:val="Heading3"/>
      </w:pPr>
      <w:r w:rsidRPr="00E15584">
        <w:t>An operational review to provide a priority focus</w:t>
      </w:r>
    </w:p>
    <w:p w14:paraId="4B3C2523" w14:textId="6C05A797" w:rsidR="00E15584" w:rsidRPr="00E15584" w:rsidRDefault="00BA43B2" w:rsidP="004024CE">
      <w:r>
        <w:t xml:space="preserve">On 17 December 2019 an </w:t>
      </w:r>
      <w:r w:rsidR="00E15584" w:rsidRPr="00E15584">
        <w:t xml:space="preserve">internal FRC Operational Review Workshop </w:t>
      </w:r>
      <w:r>
        <w:t xml:space="preserve">was </w:t>
      </w:r>
      <w:r w:rsidR="00E15584" w:rsidRPr="00E15584">
        <w:t>held</w:t>
      </w:r>
      <w:r>
        <w:t>.</w:t>
      </w:r>
      <w:r w:rsidR="00E15584" w:rsidRPr="00E15584">
        <w:t xml:space="preserve"> </w:t>
      </w:r>
      <w:r>
        <w:t>It</w:t>
      </w:r>
      <w:r w:rsidR="00E15584" w:rsidRPr="00E15584">
        <w:t xml:space="preserve"> inc</w:t>
      </w:r>
      <w:r>
        <w:t>luded</w:t>
      </w:r>
      <w:r w:rsidR="00E15584" w:rsidRPr="00E15584">
        <w:t xml:space="preserve"> year-to-date </w:t>
      </w:r>
      <w:r w:rsidR="00E15584" w:rsidRPr="00E15584">
        <w:rPr>
          <w:bCs/>
        </w:rPr>
        <w:t>reflections</w:t>
      </w:r>
      <w:r w:rsidR="00E15584" w:rsidRPr="00E15584">
        <w:t xml:space="preserve"> on key processes and the analysis of data across all communities incorporating the timeliness of dealing with matters, holding conferences and making decisions</w:t>
      </w:r>
      <w:r>
        <w:t>. Following this</w:t>
      </w:r>
      <w:r w:rsidR="00E15584" w:rsidRPr="00E15584">
        <w:t xml:space="preserve">, FRC Commissioner Tammy Williams commenced the new year by leading a Strategic Planning Workshop on 21 January 2020. The event was attended by </w:t>
      </w:r>
      <w:r w:rsidR="00441D88">
        <w:t>r</w:t>
      </w:r>
      <w:r w:rsidR="00E15584" w:rsidRPr="00E15584">
        <w:t>egistry staff and Local Commissioners Vera Koomeeta from Aurukun, Elaine Liddy from Coen, Doreen Hart from Hope Vale and Loretta Spratt from Mossman Gorge</w:t>
      </w:r>
      <w:r w:rsidR="007C5C2C">
        <w:t xml:space="preserve">. </w:t>
      </w:r>
      <w:r w:rsidR="00E15584" w:rsidRPr="00E15584">
        <w:t>Unfortunately</w:t>
      </w:r>
      <w:r w:rsidR="00044924">
        <w:t>,</w:t>
      </w:r>
      <w:r w:rsidR="00E15584" w:rsidRPr="00E15584">
        <w:t xml:space="preserve"> Chris Logan the Local Commissioner representative </w:t>
      </w:r>
      <w:r w:rsidR="00813A34">
        <w:t xml:space="preserve">from Doomadgee </w:t>
      </w:r>
      <w:r w:rsidR="00E15584" w:rsidRPr="00E15584">
        <w:t>advised of his inability to attend the workshop and alternative arrangements for a replacement were unable to be made at short notice.</w:t>
      </w:r>
    </w:p>
    <w:p w14:paraId="5D698DDC" w14:textId="00FB920A" w:rsidR="00E15584" w:rsidRPr="00E15584" w:rsidRDefault="00E15584" w:rsidP="004024CE">
      <w:pPr>
        <w:rPr>
          <w:lang w:val="en-US"/>
        </w:rPr>
      </w:pPr>
      <w:r w:rsidRPr="00E15584">
        <w:t xml:space="preserve">Specific dashboard data for each community was presented to the Local Commissioners. Honest conversations were held to identify and agree on what successes had been achieved, and conversely what changes were needed to improve efficiencies, how to implement solutions, setting and tracking performance against targets and being accountable for results achieved. Training was conducted covering new </w:t>
      </w:r>
      <w:r w:rsidR="00024574">
        <w:t>p</w:t>
      </w:r>
      <w:r w:rsidRPr="00E15584">
        <w:t xml:space="preserve">ractice </w:t>
      </w:r>
      <w:r w:rsidR="00024574">
        <w:t>d</w:t>
      </w:r>
      <w:r w:rsidRPr="00E15584">
        <w:t>irections and conferencing techniques to improve on early intervention</w:t>
      </w:r>
      <w:r w:rsidR="005C6BF6">
        <w:t>,</w:t>
      </w:r>
      <w:r w:rsidRPr="00E15584">
        <w:t xml:space="preserve"> and making quality decisions to support changes in behaviour. Each Local </w:t>
      </w:r>
      <w:r w:rsidR="00813A34">
        <w:t xml:space="preserve">Registry </w:t>
      </w:r>
      <w:r w:rsidRPr="00E15584">
        <w:t xml:space="preserve">Coordinator then met with their Local Commissioner </w:t>
      </w:r>
      <w:r w:rsidR="008021C9">
        <w:t xml:space="preserve">representative </w:t>
      </w:r>
      <w:r w:rsidRPr="00E15584">
        <w:t>to establish community action plans for the 2020 year.</w:t>
      </w:r>
    </w:p>
    <w:p w14:paraId="51AB63E5" w14:textId="77777777" w:rsidR="00D42251" w:rsidRPr="00B55A98" w:rsidRDefault="00D42251" w:rsidP="00B55A98">
      <w:r>
        <w:br w:type="page"/>
      </w:r>
    </w:p>
    <w:p w14:paraId="44039C04" w14:textId="12654241" w:rsidR="00E15584" w:rsidRPr="00E15584" w:rsidRDefault="00E15584" w:rsidP="004024CE">
      <w:pPr>
        <w:pStyle w:val="Heading3"/>
      </w:pPr>
      <w:r w:rsidRPr="00E15584">
        <w:lastRenderedPageBreak/>
        <w:t xml:space="preserve">Re-alignment of organisation structure to improve efficiencies </w:t>
      </w:r>
      <w:r w:rsidR="00640999">
        <w:t>and</w:t>
      </w:r>
      <w:r w:rsidRPr="00E15584">
        <w:t xml:space="preserve"> outcomes</w:t>
      </w:r>
    </w:p>
    <w:p w14:paraId="6E13773E" w14:textId="301BD6CF" w:rsidR="008021C9" w:rsidRDefault="00537E8D" w:rsidP="004024CE">
      <w:r>
        <w:t xml:space="preserve">Business and operational strategies this year have focussed on maximising results for FRC clients </w:t>
      </w:r>
      <w:r w:rsidR="001C1AC7">
        <w:t xml:space="preserve">by </w:t>
      </w:r>
      <w:r w:rsidR="0046328B">
        <w:t xml:space="preserve">internally </w:t>
      </w:r>
      <w:r w:rsidR="001C1AC7">
        <w:t xml:space="preserve">strengthening the FRC model to achieve accountability and continued relevance in </w:t>
      </w:r>
      <w:r w:rsidR="00284CBB">
        <w:t>a</w:t>
      </w:r>
      <w:r w:rsidR="001C1AC7">
        <w:t xml:space="preserve"> changing policy environment</w:t>
      </w:r>
      <w:r>
        <w:t xml:space="preserve">. </w:t>
      </w:r>
      <w:r w:rsidR="00CC7D82">
        <w:t xml:space="preserve">The administrative functions of the registry </w:t>
      </w:r>
      <w:r w:rsidR="005A72A6">
        <w:t>had traditionally been split into two teams: corporate and operations.</w:t>
      </w:r>
      <w:r w:rsidR="00F65BEF">
        <w:t xml:space="preserve"> As part of our re-alignment the operations team</w:t>
      </w:r>
      <w:r w:rsidR="005A72A6">
        <w:t xml:space="preserve"> </w:t>
      </w:r>
      <w:r w:rsidR="00CC7D82">
        <w:t>h</w:t>
      </w:r>
      <w:r w:rsidR="00F65BEF">
        <w:t>as</w:t>
      </w:r>
      <w:r w:rsidR="00CC7D82">
        <w:t xml:space="preserve"> been split into two </w:t>
      </w:r>
      <w:r w:rsidR="00D75352">
        <w:t xml:space="preserve">further </w:t>
      </w:r>
      <w:r w:rsidR="00CC7D82">
        <w:t xml:space="preserve">distinct </w:t>
      </w:r>
      <w:r w:rsidR="00D75352">
        <w:t>work</w:t>
      </w:r>
      <w:r w:rsidR="00CC7D82">
        <w:t>groups to provide for a</w:t>
      </w:r>
      <w:r w:rsidR="001C1AC7">
        <w:t xml:space="preserve">n integrated and </w:t>
      </w:r>
      <w:bookmarkStart w:id="0" w:name="_Hlk47528411"/>
      <w:r w:rsidR="001C1AC7">
        <w:t>coordinated client-cent</w:t>
      </w:r>
      <w:r w:rsidR="00B80BEF">
        <w:t>e</w:t>
      </w:r>
      <w:r w:rsidR="001C1AC7">
        <w:t>red case</w:t>
      </w:r>
      <w:r w:rsidR="00934F1D">
        <w:t xml:space="preserve"> </w:t>
      </w:r>
      <w:r w:rsidR="001C1AC7">
        <w:t xml:space="preserve">management </w:t>
      </w:r>
      <w:bookmarkEnd w:id="0"/>
      <w:r w:rsidR="00CC7D82">
        <w:t>structure</w:t>
      </w:r>
      <w:r w:rsidR="008021C9">
        <w:t>:</w:t>
      </w:r>
    </w:p>
    <w:p w14:paraId="6428DC03" w14:textId="5FF98730" w:rsidR="00B80BEF" w:rsidRPr="00B80BEF" w:rsidRDefault="00B80BEF" w:rsidP="00B80BEF">
      <w:pPr>
        <w:numPr>
          <w:ilvl w:val="0"/>
          <w:numId w:val="40"/>
        </w:numPr>
        <w:rPr>
          <w:lang w:val="en-GB"/>
        </w:rPr>
      </w:pPr>
      <w:r w:rsidRPr="00B80BEF">
        <w:rPr>
          <w:b/>
          <w:bCs/>
          <w:lang w:val="en-GB"/>
        </w:rPr>
        <w:t>Coordination team</w:t>
      </w:r>
      <w:r w:rsidRPr="00B80BEF">
        <w:rPr>
          <w:lang w:val="en-GB"/>
        </w:rPr>
        <w:t xml:space="preserve"> </w:t>
      </w:r>
      <w:r w:rsidR="000B6715" w:rsidRPr="00B80BEF">
        <w:rPr>
          <w:lang w:val="en-GB"/>
        </w:rPr>
        <w:t>–</w:t>
      </w:r>
      <w:r w:rsidRPr="00B80BEF">
        <w:rPr>
          <w:lang w:val="en-GB"/>
        </w:rPr>
        <w:t xml:space="preserve"> facilitates the holding of quality conferencing for clients where early intervention decisions are made </w:t>
      </w:r>
      <w:r>
        <w:rPr>
          <w:lang w:val="en-GB"/>
        </w:rPr>
        <w:t xml:space="preserve">by Commissioners </w:t>
      </w:r>
      <w:r w:rsidRPr="00B80BEF">
        <w:rPr>
          <w:lang w:val="en-GB"/>
        </w:rPr>
        <w:t xml:space="preserve">to support positive behaviour change through a network of referral pathways to </w:t>
      </w:r>
      <w:r w:rsidR="00C44B22">
        <w:rPr>
          <w:lang w:val="en-GB"/>
        </w:rPr>
        <w:t>support</w:t>
      </w:r>
      <w:r w:rsidRPr="00B80BEF">
        <w:rPr>
          <w:lang w:val="en-GB"/>
        </w:rPr>
        <w:t xml:space="preserve"> service</w:t>
      </w:r>
      <w:r w:rsidR="00C44B22">
        <w:rPr>
          <w:lang w:val="en-GB"/>
        </w:rPr>
        <w:t>s</w:t>
      </w:r>
      <w:r w:rsidRPr="00B80BEF">
        <w:rPr>
          <w:lang w:val="en-GB"/>
        </w:rPr>
        <w:t xml:space="preserve">. The Coordination team </w:t>
      </w:r>
      <w:r w:rsidR="00A57CA4">
        <w:rPr>
          <w:lang w:val="en-GB"/>
        </w:rPr>
        <w:t xml:space="preserve">is </w:t>
      </w:r>
      <w:r w:rsidRPr="00B80BEF">
        <w:rPr>
          <w:lang w:val="en-GB"/>
        </w:rPr>
        <w:t>comprise</w:t>
      </w:r>
      <w:r w:rsidR="00A57CA4">
        <w:rPr>
          <w:lang w:val="en-GB"/>
        </w:rPr>
        <w:t>d</w:t>
      </w:r>
      <w:r w:rsidRPr="00B80BEF">
        <w:rPr>
          <w:lang w:val="en-GB"/>
        </w:rPr>
        <w:t xml:space="preserve"> of Local Registry Coordinators responsible for overseeing the Commission’s operations in each community and maintaining local and regional level partnerships with service providers. The Coordination team also briefs the FRC Commissioner and Regist</w:t>
      </w:r>
      <w:r w:rsidR="00ED0E3C">
        <w:rPr>
          <w:lang w:val="en-GB"/>
        </w:rPr>
        <w:t>r</w:t>
      </w:r>
      <w:r w:rsidRPr="00B80BEF">
        <w:rPr>
          <w:lang w:val="en-GB"/>
        </w:rPr>
        <w:t xml:space="preserve">ar on systemic socio-economic issues impacting on the wellbeing of clients and their families and the restoration of socially responsible standards of behaviour. Where necessary these de-identified matters are reported in the Commission’s </w:t>
      </w:r>
      <w:r w:rsidR="00710BC3">
        <w:rPr>
          <w:lang w:val="en-GB"/>
        </w:rPr>
        <w:t>q</w:t>
      </w:r>
      <w:r w:rsidRPr="00B80BEF">
        <w:rPr>
          <w:lang w:val="en-GB"/>
        </w:rPr>
        <w:t xml:space="preserve">uarterly </w:t>
      </w:r>
      <w:r w:rsidR="00710BC3">
        <w:rPr>
          <w:lang w:val="en-GB"/>
        </w:rPr>
        <w:t>r</w:t>
      </w:r>
      <w:r w:rsidRPr="00B80BEF">
        <w:rPr>
          <w:lang w:val="en-GB"/>
        </w:rPr>
        <w:t>eports</w:t>
      </w:r>
      <w:r w:rsidR="00C44B22">
        <w:rPr>
          <w:lang w:val="en-GB"/>
        </w:rPr>
        <w:t>,</w:t>
      </w:r>
      <w:r w:rsidRPr="00B80BEF">
        <w:rPr>
          <w:lang w:val="en-GB"/>
        </w:rPr>
        <w:t xml:space="preserve"> or provided to the FR Board in out of session papers and correspondence for its consideration and appropriate action. Instances where issues were elevated to FR Board members </w:t>
      </w:r>
      <w:r w:rsidR="002A788A">
        <w:rPr>
          <w:lang w:val="en-GB"/>
        </w:rPr>
        <w:t xml:space="preserve">include those matters </w:t>
      </w:r>
      <w:r w:rsidRPr="00B80BEF">
        <w:rPr>
          <w:lang w:val="en-GB"/>
        </w:rPr>
        <w:t xml:space="preserve">set out in the </w:t>
      </w:r>
      <w:r w:rsidR="0046135B">
        <w:rPr>
          <w:lang w:val="en-GB"/>
        </w:rPr>
        <w:t>p</w:t>
      </w:r>
      <w:r w:rsidRPr="00B80BEF">
        <w:rPr>
          <w:lang w:val="en-GB"/>
        </w:rPr>
        <w:t>erformance highlights</w:t>
      </w:r>
      <w:r w:rsidR="0046135B">
        <w:rPr>
          <w:lang w:val="en-GB"/>
        </w:rPr>
        <w:t xml:space="preserve"> </w:t>
      </w:r>
      <w:r w:rsidR="005C6BF6">
        <w:rPr>
          <w:lang w:val="en-GB"/>
        </w:rPr>
        <w:t xml:space="preserve">commencing </w:t>
      </w:r>
      <w:r w:rsidR="0046135B" w:rsidRPr="003D4370">
        <w:rPr>
          <w:lang w:val="en-GB"/>
        </w:rPr>
        <w:t>on page 21</w:t>
      </w:r>
      <w:r w:rsidRPr="003D4370">
        <w:rPr>
          <w:lang w:val="en-GB"/>
        </w:rPr>
        <w:t>. During</w:t>
      </w:r>
      <w:r w:rsidRPr="00B80BEF">
        <w:rPr>
          <w:lang w:val="en-GB"/>
        </w:rPr>
        <w:t xml:space="preserve"> the 2019-20 period the Coordination team facilitated 2,228 conferences across the five welfare reform communities.</w:t>
      </w:r>
    </w:p>
    <w:p w14:paraId="0E8D3ABB" w14:textId="50107A4C" w:rsidR="00B80BEF" w:rsidRPr="00B80BEF" w:rsidRDefault="00B80BEF" w:rsidP="00B80BEF">
      <w:pPr>
        <w:numPr>
          <w:ilvl w:val="0"/>
          <w:numId w:val="40"/>
        </w:numPr>
        <w:rPr>
          <w:lang w:val="en-GB"/>
        </w:rPr>
      </w:pPr>
      <w:r w:rsidRPr="00B80BEF">
        <w:rPr>
          <w:b/>
          <w:bCs/>
          <w:lang w:val="en-GB"/>
        </w:rPr>
        <w:t>Case Management and Monitoring team</w:t>
      </w:r>
      <w:r w:rsidRPr="00B80BEF">
        <w:rPr>
          <w:lang w:val="en-GB"/>
        </w:rPr>
        <w:t xml:space="preserve"> </w:t>
      </w:r>
      <w:bookmarkStart w:id="1" w:name="_Hlk51747233"/>
      <w:r w:rsidRPr="00B80BEF">
        <w:rPr>
          <w:lang w:val="en-GB"/>
        </w:rPr>
        <w:t>–</w:t>
      </w:r>
      <w:bookmarkEnd w:id="1"/>
      <w:r w:rsidRPr="00B80BEF">
        <w:rPr>
          <w:lang w:val="en-GB"/>
        </w:rPr>
        <w:t xml:space="preserve"> manages the holistic case monitoring of client progress towards achieving case plan goals and </w:t>
      </w:r>
      <w:r w:rsidR="005C6BF6">
        <w:rPr>
          <w:lang w:val="en-GB"/>
        </w:rPr>
        <w:t xml:space="preserve">monitors </w:t>
      </w:r>
      <w:r w:rsidRPr="00B80BEF">
        <w:rPr>
          <w:lang w:val="en-GB"/>
        </w:rPr>
        <w:t xml:space="preserve">income management orders for the duration of their Family Responsibilities Agreement </w:t>
      </w:r>
      <w:r w:rsidR="00CF6757">
        <w:rPr>
          <w:lang w:val="en-GB"/>
        </w:rPr>
        <w:t xml:space="preserve">(FRA) </w:t>
      </w:r>
      <w:r w:rsidRPr="00B80BEF">
        <w:rPr>
          <w:lang w:val="en-GB"/>
        </w:rPr>
        <w:t xml:space="preserve">or decision </w:t>
      </w:r>
      <w:r w:rsidR="00CF6757">
        <w:rPr>
          <w:lang w:val="en-GB"/>
        </w:rPr>
        <w:t xml:space="preserve">by order </w:t>
      </w:r>
      <w:r w:rsidRPr="00B80BEF">
        <w:rPr>
          <w:lang w:val="en-GB"/>
        </w:rPr>
        <w:t>following conference. The team makes ongoing assessments in consul</w:t>
      </w:r>
      <w:r w:rsidR="00D30E8D">
        <w:rPr>
          <w:lang w:val="en-GB"/>
        </w:rPr>
        <w:t>t</w:t>
      </w:r>
      <w:r w:rsidRPr="00B80BEF">
        <w:rPr>
          <w:lang w:val="en-GB"/>
        </w:rPr>
        <w:t xml:space="preserve">ation with Local Registry Coordinators and Commissioners </w:t>
      </w:r>
      <w:r w:rsidR="00BD2CD6">
        <w:rPr>
          <w:lang w:val="en-GB"/>
        </w:rPr>
        <w:t xml:space="preserve">as to </w:t>
      </w:r>
      <w:r w:rsidRPr="00B80BEF">
        <w:rPr>
          <w:lang w:val="en-GB"/>
        </w:rPr>
        <w:t>whether further interventions are required. The Case Management and Monitoring team is also responsible for the initial processing of information received from notifying agencies during the intake phase of the Commission’s administrative processes. A determination is made whether the person/s named in the notice and their alleged conduct falls within the Commission’s jurisdiction. During the 2019-20 reporting period the Case Management and Monitoring team assessed 7</w:t>
      </w:r>
      <w:r w:rsidR="00D30E8D">
        <w:rPr>
          <w:lang w:val="en-GB"/>
        </w:rPr>
        <w:t>,</w:t>
      </w:r>
      <w:r w:rsidRPr="00B80BEF">
        <w:rPr>
          <w:lang w:val="en-GB"/>
        </w:rPr>
        <w:t>348 agency notices and deemed 67</w:t>
      </w:r>
      <w:r w:rsidR="00C62B48">
        <w:rPr>
          <w:lang w:val="en-GB"/>
        </w:rPr>
        <w:t>.2</w:t>
      </w:r>
      <w:r w:rsidRPr="00B80BEF">
        <w:rPr>
          <w:lang w:val="en-GB"/>
        </w:rPr>
        <w:t xml:space="preserve"> percent (4,941) were within jurisdiction. A further intake assessment is made by the team under the direction of the FRC Commissioner </w:t>
      </w:r>
      <w:r w:rsidR="00D30E8D">
        <w:rPr>
          <w:lang w:val="en-GB"/>
        </w:rPr>
        <w:t>for</w:t>
      </w:r>
      <w:r w:rsidRPr="00B80BEF">
        <w:rPr>
          <w:lang w:val="en-GB"/>
        </w:rPr>
        <w:t xml:space="preserve"> the </w:t>
      </w:r>
      <w:r w:rsidR="00ED0E3C">
        <w:rPr>
          <w:lang w:val="en-GB"/>
        </w:rPr>
        <w:t>prioritisation</w:t>
      </w:r>
      <w:r w:rsidRPr="00B80BEF">
        <w:rPr>
          <w:lang w:val="en-GB"/>
        </w:rPr>
        <w:t xml:space="preserve"> of clients where circumstances requires a mandated intervention </w:t>
      </w:r>
      <w:r w:rsidR="00BD2CD6">
        <w:rPr>
          <w:lang w:val="en-GB"/>
        </w:rPr>
        <w:t>(</w:t>
      </w:r>
      <w:r w:rsidRPr="00B80BEF">
        <w:rPr>
          <w:lang w:val="en-GB"/>
        </w:rPr>
        <w:t>the listing for conference</w:t>
      </w:r>
      <w:r w:rsidR="00BD2CD6">
        <w:rPr>
          <w:lang w:val="en-GB"/>
        </w:rPr>
        <w:t>)</w:t>
      </w:r>
      <w:r w:rsidRPr="00B80BEF">
        <w:rPr>
          <w:lang w:val="en-GB"/>
        </w:rPr>
        <w:t xml:space="preserve"> by the Commission. Throughout the year 811 community members were prioritised for conference.</w:t>
      </w:r>
    </w:p>
    <w:p w14:paraId="7EDF5312" w14:textId="77777777" w:rsidR="00B80BEF" w:rsidRDefault="00B80BEF" w:rsidP="004024CE"/>
    <w:p w14:paraId="2BE10846" w14:textId="560793E8" w:rsidR="00E15584" w:rsidRPr="00E15584" w:rsidRDefault="002E5C3B" w:rsidP="004024CE">
      <w:pPr>
        <w:pStyle w:val="Heading3"/>
      </w:pPr>
      <w:r>
        <w:t xml:space="preserve">Administrative </w:t>
      </w:r>
      <w:r w:rsidR="00F46D39">
        <w:t>workforce</w:t>
      </w:r>
    </w:p>
    <w:p w14:paraId="73072172" w14:textId="4E5BCEE1" w:rsidR="00E15584" w:rsidRPr="00E15584" w:rsidRDefault="00E15584" w:rsidP="004024CE">
      <w:r w:rsidRPr="00E15584">
        <w:t xml:space="preserve">The FRC’s </w:t>
      </w:r>
      <w:r w:rsidR="00E6249A">
        <w:t xml:space="preserve">administrative </w:t>
      </w:r>
      <w:r w:rsidRPr="00E15584">
        <w:t>workforce consists of:</w:t>
      </w:r>
    </w:p>
    <w:p w14:paraId="2F94C81A" w14:textId="55CD4556" w:rsidR="00C86CD3" w:rsidRDefault="00C86CD3" w:rsidP="004024CE">
      <w:pPr>
        <w:pStyle w:val="ListParagraph"/>
        <w:numPr>
          <w:ilvl w:val="0"/>
          <w:numId w:val="24"/>
        </w:numPr>
      </w:pPr>
      <w:r w:rsidRPr="004024CE">
        <w:t xml:space="preserve">the FRC Commissioner (appointed by the Governor in Council for a specified term) who </w:t>
      </w:r>
      <w:r w:rsidR="002A788A">
        <w:t xml:space="preserve">as the Chief Executive Officer (CEO) </w:t>
      </w:r>
      <w:r w:rsidRPr="004024CE">
        <w:t>is responsible for ensuring the efficient discharge of the Commission’s business, appropriate training for registry staff and Local Commissioners, the preparation of corporate documents and achieving the objects of the FRC Act as specified in section 22 of the FRC Act</w:t>
      </w:r>
    </w:p>
    <w:p w14:paraId="739AFF35" w14:textId="41257C12" w:rsidR="00E15584" w:rsidRPr="004024CE" w:rsidRDefault="00E15584" w:rsidP="004024CE">
      <w:pPr>
        <w:pStyle w:val="ListParagraph"/>
        <w:numPr>
          <w:ilvl w:val="0"/>
          <w:numId w:val="24"/>
        </w:numPr>
      </w:pPr>
      <w:r w:rsidRPr="004024CE">
        <w:lastRenderedPageBreak/>
        <w:t xml:space="preserve">the Registrar </w:t>
      </w:r>
      <w:r w:rsidR="00CB5F0F" w:rsidRPr="004024CE">
        <w:t xml:space="preserve">who is </w:t>
      </w:r>
      <w:r w:rsidRPr="004024CE">
        <w:t xml:space="preserve">responsible for </w:t>
      </w:r>
      <w:r w:rsidR="00CB5F0F" w:rsidRPr="004024CE">
        <w:t>managing the registry and the administrative affairs of the Commission</w:t>
      </w:r>
      <w:r w:rsidRPr="004024CE">
        <w:t xml:space="preserve"> </w:t>
      </w:r>
      <w:r w:rsidR="00CB5F0F" w:rsidRPr="004024CE">
        <w:t>and whose functions, powers and delegation are specified in section</w:t>
      </w:r>
      <w:r w:rsidR="008F770F" w:rsidRPr="004024CE">
        <w:t>s</w:t>
      </w:r>
      <w:r w:rsidR="00CB5F0F" w:rsidRPr="004024CE">
        <w:t xml:space="preserve"> 35</w:t>
      </w:r>
      <w:r w:rsidR="008F770F" w:rsidRPr="004024CE">
        <w:t xml:space="preserve"> to 37</w:t>
      </w:r>
      <w:r w:rsidR="00CB5F0F" w:rsidRPr="004024CE">
        <w:t xml:space="preserve"> of the FRC Act</w:t>
      </w:r>
    </w:p>
    <w:p w14:paraId="1C3D8A91" w14:textId="56A6E8F8" w:rsidR="00E15584" w:rsidRPr="004024CE" w:rsidRDefault="00E15584" w:rsidP="004024CE">
      <w:pPr>
        <w:pStyle w:val="ListParagraph"/>
        <w:numPr>
          <w:ilvl w:val="0"/>
          <w:numId w:val="24"/>
        </w:numPr>
      </w:pPr>
      <w:r w:rsidRPr="004024CE">
        <w:t xml:space="preserve">the Executive </w:t>
      </w:r>
      <w:r w:rsidR="00E4740A">
        <w:t>O</w:t>
      </w:r>
      <w:r w:rsidRPr="004024CE">
        <w:t xml:space="preserve">fficer </w:t>
      </w:r>
      <w:r w:rsidR="008F770F" w:rsidRPr="004024CE">
        <w:t xml:space="preserve">(Finance) who is </w:t>
      </w:r>
      <w:r w:rsidRPr="004024CE">
        <w:t>responsible for</w:t>
      </w:r>
      <w:r w:rsidR="00CB5F0F" w:rsidRPr="004024CE">
        <w:t xml:space="preserve"> </w:t>
      </w:r>
      <w:r w:rsidR="00CB5F0F" w:rsidRPr="004024CE">
        <w:rPr>
          <w:lang w:val="en"/>
        </w:rPr>
        <w:t xml:space="preserve">providing financial, and strategic/corporate advice and support to the Commission’s operations </w:t>
      </w:r>
      <w:r w:rsidR="00E6249A" w:rsidRPr="004024CE">
        <w:rPr>
          <w:lang w:val="en"/>
        </w:rPr>
        <w:t>across</w:t>
      </w:r>
      <w:r w:rsidR="00CB5F0F" w:rsidRPr="004024CE">
        <w:rPr>
          <w:lang w:val="en"/>
        </w:rPr>
        <w:t xml:space="preserve"> Cairns and the communities</w:t>
      </w:r>
      <w:r w:rsidR="008F770F" w:rsidRPr="004024CE">
        <w:rPr>
          <w:lang w:val="en"/>
        </w:rPr>
        <w:t xml:space="preserve"> and</w:t>
      </w:r>
    </w:p>
    <w:p w14:paraId="7FF9AF51" w14:textId="4910D594" w:rsidR="00E15584" w:rsidRPr="004024CE" w:rsidRDefault="008B76F4" w:rsidP="004024CE">
      <w:pPr>
        <w:pStyle w:val="ListParagraph"/>
        <w:numPr>
          <w:ilvl w:val="0"/>
          <w:numId w:val="24"/>
        </w:numPr>
      </w:pPr>
      <w:r w:rsidRPr="004024CE">
        <w:t>15</w:t>
      </w:r>
      <w:r w:rsidR="00E15584" w:rsidRPr="004024CE">
        <w:t xml:space="preserve"> positions across the three </w:t>
      </w:r>
      <w:r w:rsidR="007E018C">
        <w:t>teams</w:t>
      </w:r>
      <w:r w:rsidR="00E15584" w:rsidRPr="004024CE">
        <w:t xml:space="preserve"> of Case Management and Monitoring, Coordination and Corporate</w:t>
      </w:r>
      <w:r w:rsidR="00E6249A" w:rsidRPr="004024CE">
        <w:t>,</w:t>
      </w:r>
      <w:r w:rsidR="00D27098" w:rsidRPr="004024CE">
        <w:t xml:space="preserve"> </w:t>
      </w:r>
      <w:r w:rsidRPr="004024CE">
        <w:t xml:space="preserve">including </w:t>
      </w:r>
      <w:r w:rsidR="00C16B98">
        <w:t>four</w:t>
      </w:r>
      <w:r w:rsidRPr="004024CE">
        <w:t xml:space="preserve"> Local Registry Coordinators</w:t>
      </w:r>
      <w:r w:rsidR="00D27098" w:rsidRPr="004024CE">
        <w:t xml:space="preserve"> appointed under section 38 of the FRC Act to support the efficient and effective operation of the Commission in </w:t>
      </w:r>
      <w:r w:rsidR="002C7BEB" w:rsidRPr="004024CE">
        <w:t xml:space="preserve">each of </w:t>
      </w:r>
      <w:r w:rsidR="00D27098" w:rsidRPr="004024CE">
        <w:t xml:space="preserve">the </w:t>
      </w:r>
      <w:r w:rsidR="00A60A46">
        <w:t>w</w:t>
      </w:r>
      <w:r w:rsidR="0063220D">
        <w:t>elfare reform</w:t>
      </w:r>
      <w:r w:rsidR="00D27098" w:rsidRPr="004024CE">
        <w:t xml:space="preserve"> communities</w:t>
      </w:r>
      <w:r w:rsidR="007C5C2C" w:rsidRPr="004024CE">
        <w:t>.</w:t>
      </w:r>
    </w:p>
    <w:p w14:paraId="12B8992A" w14:textId="517CC074" w:rsidR="0049253C" w:rsidRDefault="009C34A1" w:rsidP="004024CE">
      <w:r>
        <w:t xml:space="preserve">Further details in regard to the Commission’s workforce profile can be located in the Governance section of this report. </w:t>
      </w:r>
      <w:r w:rsidR="00E15584" w:rsidRPr="00E15584">
        <w:t>Biographi</w:t>
      </w:r>
      <w:r w:rsidR="00F46D39">
        <w:t>es</w:t>
      </w:r>
      <w:r w:rsidR="00E15584" w:rsidRPr="00E15584">
        <w:t xml:space="preserve"> </w:t>
      </w:r>
      <w:r w:rsidR="00FF2418">
        <w:t xml:space="preserve">of </w:t>
      </w:r>
      <w:r w:rsidR="006A331C">
        <w:t>C</w:t>
      </w:r>
      <w:r w:rsidR="00FF2418">
        <w:t xml:space="preserve">ommissioners and the </w:t>
      </w:r>
      <w:r w:rsidR="006A331C">
        <w:t>R</w:t>
      </w:r>
      <w:r w:rsidR="00FF2418">
        <w:t xml:space="preserve">egistrar </w:t>
      </w:r>
      <w:r w:rsidR="00E15584" w:rsidRPr="00E15584">
        <w:t>can be found in the appendi</w:t>
      </w:r>
      <w:r w:rsidR="00F46D39">
        <w:t>ces (Appendi</w:t>
      </w:r>
      <w:r w:rsidR="00AC53C9">
        <w:t xml:space="preserve">x </w:t>
      </w:r>
      <w:r w:rsidR="0026539A">
        <w:t>B</w:t>
      </w:r>
      <w:r w:rsidR="00F46D39">
        <w:t>)</w:t>
      </w:r>
      <w:r w:rsidR="00E15584" w:rsidRPr="00E15584">
        <w:t>.</w:t>
      </w:r>
    </w:p>
    <w:p w14:paraId="577BB16A" w14:textId="4244F3F6" w:rsidR="00B33371" w:rsidRDefault="00B33371" w:rsidP="004024CE">
      <w:r>
        <w:rPr>
          <w:noProof/>
        </w:rPr>
        <w:drawing>
          <wp:anchor distT="0" distB="0" distL="114300" distR="114300" simplePos="0" relativeHeight="251667456" behindDoc="0" locked="0" layoutInCell="1" allowOverlap="1" wp14:anchorId="1F7C9BD6" wp14:editId="0DAD3954">
            <wp:simplePos x="0" y="0"/>
            <wp:positionH relativeFrom="margin">
              <wp:posOffset>33020</wp:posOffset>
            </wp:positionH>
            <wp:positionV relativeFrom="paragraph">
              <wp:posOffset>280035</wp:posOffset>
            </wp:positionV>
            <wp:extent cx="5399405" cy="255397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dministrative workforce grayscale -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9405" cy="2553970"/>
                    </a:xfrm>
                    <a:prstGeom prst="rect">
                      <a:avLst/>
                    </a:prstGeom>
                  </pic:spPr>
                </pic:pic>
              </a:graphicData>
            </a:graphic>
            <wp14:sizeRelH relativeFrom="margin">
              <wp14:pctWidth>0</wp14:pctWidth>
            </wp14:sizeRelH>
            <wp14:sizeRelV relativeFrom="margin">
              <wp14:pctHeight>0</wp14:pctHeight>
            </wp14:sizeRelV>
          </wp:anchor>
        </w:drawing>
      </w:r>
    </w:p>
    <w:p w14:paraId="4AAD5C73" w14:textId="099E5F1B" w:rsidR="00B33371" w:rsidRDefault="00B33371" w:rsidP="004024CE"/>
    <w:p w14:paraId="6E1EDCE9" w14:textId="1EF9C403" w:rsidR="00E15584" w:rsidRPr="00E15584" w:rsidRDefault="00E15584" w:rsidP="004024CE">
      <w:pPr>
        <w:pStyle w:val="Heading3"/>
      </w:pPr>
      <w:r w:rsidRPr="00E15584">
        <w:t>Client-focused data reporting</w:t>
      </w:r>
    </w:p>
    <w:p w14:paraId="310DC192" w14:textId="233286E5" w:rsidR="00E15584" w:rsidRPr="00E15584" w:rsidRDefault="00E15584" w:rsidP="004024CE">
      <w:r w:rsidRPr="00E15584">
        <w:t>This year the FRC committed to report our activity in a manner to reflect a more client-focused data reporting framework as opposed to the historical process-orientated data we have reported since 2008. This change forms part of a broader internal review of data reporting which commenced in January 2020 aimed at more accurately documenting the Commission’s work and the benefits afforded to FRC clients</w:t>
      </w:r>
      <w:r w:rsidR="007C5C2C">
        <w:t xml:space="preserve">. </w:t>
      </w:r>
      <w:r w:rsidRPr="00E15584">
        <w:t>Feedback from our stakeholders indicates the level of client intervention provided by the FRC is of primary interest to readers of our quarterly and annual reports</w:t>
      </w:r>
      <w:r w:rsidR="007C5C2C">
        <w:t xml:space="preserve">. </w:t>
      </w:r>
      <w:r w:rsidRPr="00E15584">
        <w:t>Continuing amendments to our data reporting framework are planned to further define the level of client engagement and outcomes.</w:t>
      </w:r>
    </w:p>
    <w:p w14:paraId="6D9C4129" w14:textId="21D3233C" w:rsidR="00110290" w:rsidRPr="008C259F" w:rsidRDefault="00110290" w:rsidP="008C259F"/>
    <w:p w14:paraId="18F21346" w14:textId="77777777" w:rsidR="00B33371" w:rsidRPr="000F756B" w:rsidRDefault="00B33371" w:rsidP="000F756B">
      <w:r>
        <w:br w:type="page"/>
      </w:r>
    </w:p>
    <w:p w14:paraId="441CD92D" w14:textId="6A4FF836" w:rsidR="00E15584" w:rsidRPr="00E15584" w:rsidRDefault="00E15584" w:rsidP="004024CE">
      <w:pPr>
        <w:pStyle w:val="Heading3"/>
      </w:pPr>
      <w:r w:rsidRPr="00E15584">
        <w:lastRenderedPageBreak/>
        <w:t>FRC decisions have an increased focus on capacity-building</w:t>
      </w:r>
    </w:p>
    <w:p w14:paraId="5AA47815" w14:textId="772C577B" w:rsidR="007D0ED0" w:rsidRDefault="007E3A8D" w:rsidP="004024CE">
      <w:r>
        <w:t>Decisions can be made by agreement or order of the Commission. Community member</w:t>
      </w:r>
      <w:r w:rsidR="002E7651">
        <w:t>s</w:t>
      </w:r>
      <w:r>
        <w:t xml:space="preserve"> can also voluntarily request referrals or income management. </w:t>
      </w:r>
      <w:r w:rsidR="00974265">
        <w:t>A continuum of possible decision</w:t>
      </w:r>
      <w:r w:rsidR="00D842E8">
        <w:t xml:space="preserve">s made at conference </w:t>
      </w:r>
      <w:r w:rsidR="009F714F">
        <w:t>follows</w:t>
      </w:r>
      <w:r w:rsidR="00974265">
        <w:t>.</w:t>
      </w:r>
    </w:p>
    <w:p w14:paraId="5A43E195" w14:textId="0D97AACB" w:rsidR="007E3A8D" w:rsidRPr="000C7FA3" w:rsidRDefault="001F675F" w:rsidP="000C7FA3">
      <w:pPr>
        <w:spacing w:after="160" w:line="259" w:lineRule="auto"/>
        <w:rPr>
          <w:bCs/>
          <w:noProof/>
        </w:rPr>
      </w:pPr>
      <w:r>
        <w:rPr>
          <w:bCs/>
          <w:noProof/>
        </w:rPr>
        <w:drawing>
          <wp:inline distT="0" distB="0" distL="0" distR="0" wp14:anchorId="0E7FDC6E" wp14:editId="530913A8">
            <wp:extent cx="5332364" cy="1156563"/>
            <wp:effectExtent l="0" t="0" r="1905"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RC decisions without border grayscale -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2364" cy="1156563"/>
                    </a:xfrm>
                    <a:prstGeom prst="rect">
                      <a:avLst/>
                    </a:prstGeom>
                  </pic:spPr>
                </pic:pic>
              </a:graphicData>
            </a:graphic>
          </wp:inline>
        </w:drawing>
      </w:r>
    </w:p>
    <w:p w14:paraId="4077435B" w14:textId="77777777" w:rsidR="00D842E8" w:rsidRDefault="00D842E8" w:rsidP="004024CE"/>
    <w:p w14:paraId="21C4664C" w14:textId="107C14D9" w:rsidR="00E15584" w:rsidRPr="00E15584" w:rsidRDefault="00D842E8" w:rsidP="004024CE">
      <w:r>
        <w:t>Section 5 of t</w:t>
      </w:r>
      <w:r w:rsidR="00974265">
        <w:t xml:space="preserve">he FRC Act is </w:t>
      </w:r>
      <w:r w:rsidR="002E7651">
        <w:t xml:space="preserve">clear in stipulating </w:t>
      </w:r>
      <w:r>
        <w:t>t</w:t>
      </w:r>
      <w:r w:rsidR="002E7651">
        <w:t>hat matters should be dealt with in a manner that facilitates early intervention</w:t>
      </w:r>
      <w:r w:rsidR="00851778">
        <w:t xml:space="preserve">, delivers </w:t>
      </w:r>
      <w:r w:rsidR="002E7651">
        <w:t xml:space="preserve">timely decisions, supports the change of behaviour </w:t>
      </w:r>
      <w:r w:rsidR="004C76C1">
        <w:t>sought</w:t>
      </w:r>
      <w:r w:rsidR="002E7651">
        <w:t xml:space="preserve">, supports the exercise of local authority and makes use of community support services. </w:t>
      </w:r>
      <w:r w:rsidR="00851778">
        <w:t xml:space="preserve">The primary goal of the Commissioners is to enter into an agreement with the community member in the first instance. </w:t>
      </w:r>
      <w:r w:rsidR="004C76C1">
        <w:t>Clients may seek to amend or end a decision by demonstrating their circumstances have changed and children/vulnerable persons would not be detrimentally impacted by the alteration to the decision.</w:t>
      </w:r>
    </w:p>
    <w:p w14:paraId="090B9BAC" w14:textId="4B5F0F8E" w:rsidR="002E4055" w:rsidRDefault="00E15584" w:rsidP="004024CE">
      <w:r w:rsidRPr="00E15584">
        <w:t>A</w:t>
      </w:r>
      <w:r w:rsidR="00BF674C">
        <w:t xml:space="preserve">ctivity for this reporting period has resulted in </w:t>
      </w:r>
      <w:r w:rsidRPr="00E15584">
        <w:t>a significant increase in clients case-managed</w:t>
      </w:r>
      <w:r w:rsidR="004E307F">
        <w:t>, up from 73 clients case</w:t>
      </w:r>
      <w:r w:rsidR="005C6BF6">
        <w:t>-</w:t>
      </w:r>
      <w:r w:rsidR="004E307F">
        <w:t>managed at the end of 2018-19 to 286 clients at the end of 2019-20</w:t>
      </w:r>
      <w:r w:rsidR="009719CA">
        <w:t>. This growth resulted from</w:t>
      </w:r>
      <w:r w:rsidR="004E307F">
        <w:t xml:space="preserve"> an increase in agreements and </w:t>
      </w:r>
      <w:r w:rsidRPr="00E15584">
        <w:t xml:space="preserve">orders made to attend community support services </w:t>
      </w:r>
      <w:r w:rsidR="00DC6E29">
        <w:t>as shown in the following table</w:t>
      </w:r>
      <w:r w:rsidR="00536058">
        <w:t xml:space="preserve">, </w:t>
      </w:r>
      <w:r w:rsidR="00C22F3B">
        <w:t>noting</w:t>
      </w:r>
      <w:r w:rsidR="00536058">
        <w:t xml:space="preserve"> a client can have one or more agreements or orders</w:t>
      </w:r>
      <w:r w:rsidRPr="00E15584">
        <w:t xml:space="preserve">. </w:t>
      </w:r>
      <w:r w:rsidR="00E438DA">
        <w:t xml:space="preserve">Further information in regard to conference activity </w:t>
      </w:r>
      <w:r w:rsidR="00DC6E29">
        <w:t xml:space="preserve">and outcomes </w:t>
      </w:r>
      <w:r w:rsidR="00E438DA">
        <w:t xml:space="preserve">during the reporting period can be found in the </w:t>
      </w:r>
      <w:r w:rsidR="002E713B">
        <w:t>R</w:t>
      </w:r>
      <w:r w:rsidR="00E438DA">
        <w:t xml:space="preserve">eview of </w:t>
      </w:r>
      <w:r w:rsidR="004E307F">
        <w:t xml:space="preserve">non-financial performance </w:t>
      </w:r>
      <w:r w:rsidR="00E438DA">
        <w:t xml:space="preserve">section </w:t>
      </w:r>
      <w:r w:rsidR="009719CA">
        <w:t>commencing on page 19</w:t>
      </w:r>
      <w:r w:rsidR="00E438DA">
        <w:t>.</w:t>
      </w:r>
    </w:p>
    <w:p w14:paraId="37E6B453" w14:textId="77777777" w:rsidR="00505504" w:rsidRDefault="00505504" w:rsidP="004024CE"/>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992"/>
        <w:gridCol w:w="992"/>
      </w:tblGrid>
      <w:tr w:rsidR="00904BF9" w:rsidRPr="00904BF9" w14:paraId="1EC308BA" w14:textId="77777777" w:rsidTr="00061BEF">
        <w:trPr>
          <w:trHeight w:val="300"/>
        </w:trPr>
        <w:tc>
          <w:tcPr>
            <w:tcW w:w="6521" w:type="dxa"/>
            <w:shd w:val="clear" w:color="auto" w:fill="808080" w:themeFill="background1" w:themeFillShade="80"/>
            <w:vAlign w:val="center"/>
          </w:tcPr>
          <w:p w14:paraId="00EFB946" w14:textId="77777777" w:rsidR="00904BF9" w:rsidRPr="008727EA" w:rsidRDefault="00904BF9" w:rsidP="004024CE">
            <w:pPr>
              <w:rPr>
                <w:b/>
                <w:bCs/>
                <w:color w:val="FFFFFF" w:themeColor="background1"/>
              </w:rPr>
            </w:pPr>
            <w:r w:rsidRPr="008727EA">
              <w:rPr>
                <w:b/>
                <w:bCs/>
                <w:color w:val="FFFFFF" w:themeColor="background1"/>
              </w:rPr>
              <w:t>Conference outcomes for the financial year</w:t>
            </w:r>
          </w:p>
        </w:tc>
        <w:tc>
          <w:tcPr>
            <w:tcW w:w="992" w:type="dxa"/>
            <w:shd w:val="clear" w:color="auto" w:fill="808080" w:themeFill="background1" w:themeFillShade="80"/>
            <w:vAlign w:val="center"/>
          </w:tcPr>
          <w:p w14:paraId="07A372CC" w14:textId="087A29EA" w:rsidR="00904BF9" w:rsidRPr="008727EA" w:rsidRDefault="00904BF9" w:rsidP="000C7FA3">
            <w:pPr>
              <w:jc w:val="right"/>
              <w:rPr>
                <w:b/>
                <w:bCs/>
                <w:color w:val="FFFFFF" w:themeColor="background1"/>
              </w:rPr>
            </w:pPr>
            <w:r w:rsidRPr="008727EA">
              <w:rPr>
                <w:b/>
                <w:bCs/>
                <w:color w:val="FFFFFF" w:themeColor="background1"/>
              </w:rPr>
              <w:t>2018-19</w:t>
            </w:r>
          </w:p>
        </w:tc>
        <w:tc>
          <w:tcPr>
            <w:tcW w:w="992" w:type="dxa"/>
            <w:shd w:val="clear" w:color="auto" w:fill="808080" w:themeFill="background1" w:themeFillShade="80"/>
            <w:vAlign w:val="center"/>
          </w:tcPr>
          <w:p w14:paraId="2477B0B6" w14:textId="5499BA45" w:rsidR="00904BF9" w:rsidRPr="008727EA" w:rsidRDefault="00904BF9" w:rsidP="000C7FA3">
            <w:pPr>
              <w:jc w:val="right"/>
              <w:rPr>
                <w:b/>
                <w:bCs/>
                <w:color w:val="FFFFFF" w:themeColor="background1"/>
              </w:rPr>
            </w:pPr>
            <w:r w:rsidRPr="008727EA">
              <w:rPr>
                <w:b/>
                <w:bCs/>
                <w:color w:val="FFFFFF" w:themeColor="background1"/>
              </w:rPr>
              <w:t>2019-20</w:t>
            </w:r>
          </w:p>
        </w:tc>
      </w:tr>
      <w:tr w:rsidR="00904BF9" w:rsidRPr="00904BF9" w14:paraId="2A80298C" w14:textId="77777777" w:rsidTr="00746B71">
        <w:trPr>
          <w:trHeight w:val="300"/>
        </w:trPr>
        <w:tc>
          <w:tcPr>
            <w:tcW w:w="6521" w:type="dxa"/>
            <w:shd w:val="clear" w:color="auto" w:fill="auto"/>
            <w:vAlign w:val="center"/>
            <w:hideMark/>
          </w:tcPr>
          <w:p w14:paraId="3B329828" w14:textId="28E6A881" w:rsidR="00904BF9" w:rsidRPr="00904BF9" w:rsidRDefault="00CD3D46" w:rsidP="004024CE">
            <w:r>
              <w:t>Agreements</w:t>
            </w:r>
            <w:r w:rsidR="000C26A3">
              <w:t xml:space="preserve"> to attend community support services</w:t>
            </w:r>
          </w:p>
        </w:tc>
        <w:tc>
          <w:tcPr>
            <w:tcW w:w="992" w:type="dxa"/>
            <w:shd w:val="clear" w:color="auto" w:fill="auto"/>
            <w:vAlign w:val="center"/>
          </w:tcPr>
          <w:p w14:paraId="1F040ACA" w14:textId="2FB109D7" w:rsidR="00904BF9" w:rsidRPr="000C7FA3" w:rsidRDefault="006D51BC" w:rsidP="000C7FA3">
            <w:pPr>
              <w:jc w:val="right"/>
            </w:pPr>
            <w:r>
              <w:t>8</w:t>
            </w:r>
          </w:p>
        </w:tc>
        <w:tc>
          <w:tcPr>
            <w:tcW w:w="992" w:type="dxa"/>
            <w:shd w:val="clear" w:color="auto" w:fill="auto"/>
            <w:vAlign w:val="center"/>
          </w:tcPr>
          <w:p w14:paraId="791EB7DA" w14:textId="4A49C105" w:rsidR="00904BF9" w:rsidRPr="000C7FA3" w:rsidRDefault="00CD3D46" w:rsidP="000C7FA3">
            <w:pPr>
              <w:jc w:val="right"/>
            </w:pPr>
            <w:r>
              <w:t>23</w:t>
            </w:r>
          </w:p>
        </w:tc>
      </w:tr>
      <w:tr w:rsidR="00904BF9" w:rsidRPr="00904BF9" w14:paraId="0BD657AD" w14:textId="77777777" w:rsidTr="00746B71">
        <w:trPr>
          <w:trHeight w:val="300"/>
        </w:trPr>
        <w:tc>
          <w:tcPr>
            <w:tcW w:w="6521" w:type="dxa"/>
            <w:shd w:val="clear" w:color="auto" w:fill="auto"/>
            <w:vAlign w:val="center"/>
            <w:hideMark/>
          </w:tcPr>
          <w:p w14:paraId="11C6A35F" w14:textId="77777777" w:rsidR="00904BF9" w:rsidRPr="00904BF9" w:rsidRDefault="00904BF9" w:rsidP="004024CE">
            <w:r w:rsidRPr="00904BF9">
              <w:t>Orders made to attend community support services</w:t>
            </w:r>
          </w:p>
        </w:tc>
        <w:tc>
          <w:tcPr>
            <w:tcW w:w="992" w:type="dxa"/>
            <w:shd w:val="clear" w:color="auto" w:fill="auto"/>
            <w:vAlign w:val="center"/>
          </w:tcPr>
          <w:p w14:paraId="0C76403E" w14:textId="77777777" w:rsidR="00904BF9" w:rsidRPr="000C7FA3" w:rsidRDefault="00904BF9" w:rsidP="000C7FA3">
            <w:pPr>
              <w:jc w:val="right"/>
            </w:pPr>
            <w:r w:rsidRPr="000C7FA3">
              <w:t>70</w:t>
            </w:r>
          </w:p>
        </w:tc>
        <w:tc>
          <w:tcPr>
            <w:tcW w:w="992" w:type="dxa"/>
            <w:shd w:val="clear" w:color="auto" w:fill="auto"/>
            <w:vAlign w:val="center"/>
          </w:tcPr>
          <w:p w14:paraId="2F8B3E00" w14:textId="77777777" w:rsidR="00904BF9" w:rsidRPr="000C7FA3" w:rsidRDefault="00904BF9" w:rsidP="000C7FA3">
            <w:pPr>
              <w:jc w:val="right"/>
            </w:pPr>
            <w:r w:rsidRPr="000C7FA3">
              <w:t>302</w:t>
            </w:r>
          </w:p>
        </w:tc>
      </w:tr>
    </w:tbl>
    <w:p w14:paraId="2B867952" w14:textId="3CA89E93" w:rsidR="00DC6E29" w:rsidRDefault="00DC6E29" w:rsidP="004024CE"/>
    <w:p w14:paraId="6C13D3B2" w14:textId="165579F4" w:rsidR="00011EAD" w:rsidRPr="00E15584" w:rsidRDefault="00011EAD" w:rsidP="00011EAD">
      <w:pPr>
        <w:pStyle w:val="Heading3"/>
      </w:pPr>
      <w:r w:rsidRPr="00E15584">
        <w:t>Referral</w:t>
      </w:r>
      <w:r>
        <w:t xml:space="preserve"> pathways for clients and case management have grown significantly</w:t>
      </w:r>
    </w:p>
    <w:p w14:paraId="4FAD3692" w14:textId="710A331B" w:rsidR="00011EAD" w:rsidRPr="00D93019" w:rsidRDefault="00011EAD" w:rsidP="00011EAD">
      <w:r>
        <w:t xml:space="preserve">Commissioners are guided by the FRC Act, sections 4 and 5, to encourage community members to engage in socially responsible ways, and in doing so, make appropriate use of community support services. The Commissioners use the referral pathways available in each community to </w:t>
      </w:r>
      <w:r w:rsidRPr="00D93019">
        <w:t xml:space="preserve">strengthen </w:t>
      </w:r>
      <w:r>
        <w:t xml:space="preserve">the client’s resilience to face the challenges they experience, and to </w:t>
      </w:r>
      <w:r w:rsidRPr="00D93019">
        <w:t xml:space="preserve">ensure the wellbeing and safety of children </w:t>
      </w:r>
      <w:r>
        <w:t xml:space="preserve">and vulnerable people </w:t>
      </w:r>
      <w:r w:rsidRPr="00D93019">
        <w:t>through broad-based counselling and education.</w:t>
      </w:r>
    </w:p>
    <w:p w14:paraId="43134FE3" w14:textId="5D0B337A" w:rsidR="00011EAD" w:rsidRPr="00E15584" w:rsidRDefault="00011EAD" w:rsidP="00011EAD">
      <w:r w:rsidRPr="00E15584">
        <w:t>During the conferencing process Commissioners may decide to refer the client to support services such as:</w:t>
      </w:r>
    </w:p>
    <w:p w14:paraId="56EC90EE" w14:textId="77777777" w:rsidR="00011EAD" w:rsidRPr="00E15584" w:rsidRDefault="00011EAD" w:rsidP="00011EAD">
      <w:pPr>
        <w:pStyle w:val="ListBullet2"/>
      </w:pPr>
      <w:r w:rsidRPr="00E15584">
        <w:t>Wellbeing Centres (WBCs) to address alcohol and/or drug misuse, gambling, domestic violence or social health related issues</w:t>
      </w:r>
    </w:p>
    <w:p w14:paraId="4C80CFA7" w14:textId="2697FD83" w:rsidR="00011EAD" w:rsidRPr="00E15584" w:rsidRDefault="00011EAD" w:rsidP="00011EAD">
      <w:pPr>
        <w:pStyle w:val="ListBullet2"/>
      </w:pPr>
      <w:r w:rsidRPr="00E15584">
        <w:lastRenderedPageBreak/>
        <w:t xml:space="preserve">Parenting </w:t>
      </w:r>
      <w:r w:rsidR="00971119">
        <w:t>p</w:t>
      </w:r>
      <w:r w:rsidRPr="00E15584">
        <w:t>rograms to assist in implementing good parenting practices</w:t>
      </w:r>
    </w:p>
    <w:p w14:paraId="04AB27AB" w14:textId="77777777" w:rsidR="00011EAD" w:rsidRPr="00E15584" w:rsidRDefault="00011EAD" w:rsidP="00011EAD">
      <w:pPr>
        <w:pStyle w:val="ListBullet2"/>
      </w:pPr>
      <w:r w:rsidRPr="00E15584">
        <w:t>MPower, a money management program, to assist with budgeting and meeting priority financial needs</w:t>
      </w:r>
    </w:p>
    <w:p w14:paraId="351D711C" w14:textId="7DD7096B" w:rsidR="00011EAD" w:rsidRPr="00E15584" w:rsidRDefault="00011EAD" w:rsidP="00011EAD">
      <w:pPr>
        <w:pStyle w:val="ListBullet2"/>
      </w:pPr>
      <w:r w:rsidRPr="00710BC3">
        <w:t>S</w:t>
      </w:r>
      <w:r w:rsidR="00710BC3" w:rsidRPr="00710BC3">
        <w:t>chool</w:t>
      </w:r>
      <w:r w:rsidRPr="00710BC3">
        <w:t xml:space="preserve"> </w:t>
      </w:r>
      <w:r w:rsidR="00710BC3" w:rsidRPr="00710BC3">
        <w:t>Attendance Officers</w:t>
      </w:r>
      <w:r w:rsidRPr="00E15584">
        <w:t xml:space="preserve"> to assist parents to ensure children attend school or</w:t>
      </w:r>
    </w:p>
    <w:p w14:paraId="45891C88" w14:textId="77777777" w:rsidR="00011EAD" w:rsidRPr="00E15584" w:rsidRDefault="00011EAD" w:rsidP="00011EAD">
      <w:pPr>
        <w:pStyle w:val="ListBullet2"/>
      </w:pPr>
      <w:r w:rsidRPr="00E15584">
        <w:t>other appropriate support services.</w:t>
      </w:r>
    </w:p>
    <w:p w14:paraId="669963C8" w14:textId="77777777" w:rsidR="00302B68" w:rsidRDefault="00302B68" w:rsidP="00302B68">
      <w:pPr>
        <w:spacing w:after="0" w:line="240" w:lineRule="auto"/>
        <w:rPr>
          <w:lang w:val="en-GB"/>
        </w:rPr>
      </w:pPr>
    </w:p>
    <w:p w14:paraId="069B5C3F" w14:textId="365E7DED" w:rsidR="008C21FE" w:rsidRDefault="008C21FE" w:rsidP="00011EAD">
      <w:pPr>
        <w:rPr>
          <w:lang w:val="en-GB"/>
        </w:rPr>
      </w:pPr>
      <w:r>
        <w:rPr>
          <w:lang w:val="en-GB"/>
        </w:rPr>
        <w:t>As demonstrated in the table below the Commissioners have increased the referrals (nearly five-fold)</w:t>
      </w:r>
      <w:r w:rsidR="00302B68">
        <w:rPr>
          <w:lang w:val="en-GB"/>
        </w:rPr>
        <w:t xml:space="preserve"> from the previous financial year.</w:t>
      </w:r>
    </w:p>
    <w:p w14:paraId="6211CE6E" w14:textId="77777777" w:rsidR="00A21531" w:rsidRDefault="00A21531" w:rsidP="00011EAD">
      <w:pPr>
        <w:rPr>
          <w:lang w:val="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992"/>
        <w:gridCol w:w="992"/>
      </w:tblGrid>
      <w:tr w:rsidR="006835FB" w:rsidRPr="00904BF9" w14:paraId="38AE7DF7" w14:textId="77777777" w:rsidTr="00061BEF">
        <w:trPr>
          <w:trHeight w:val="300"/>
        </w:trPr>
        <w:tc>
          <w:tcPr>
            <w:tcW w:w="6521" w:type="dxa"/>
            <w:shd w:val="clear" w:color="auto" w:fill="808080" w:themeFill="background1" w:themeFillShade="80"/>
            <w:vAlign w:val="center"/>
          </w:tcPr>
          <w:p w14:paraId="22D3D125" w14:textId="2FFB4577" w:rsidR="006835FB" w:rsidRPr="008727EA" w:rsidRDefault="004E307F" w:rsidP="004E307F">
            <w:pPr>
              <w:rPr>
                <w:b/>
                <w:bCs/>
                <w:color w:val="FFFFFF" w:themeColor="background1"/>
              </w:rPr>
            </w:pPr>
            <w:r w:rsidRPr="008727EA">
              <w:rPr>
                <w:b/>
                <w:bCs/>
                <w:color w:val="FFFFFF" w:themeColor="background1"/>
              </w:rPr>
              <w:t xml:space="preserve">Number of </w:t>
            </w:r>
            <w:r w:rsidR="00242687">
              <w:rPr>
                <w:b/>
                <w:bCs/>
                <w:color w:val="FFFFFF" w:themeColor="background1"/>
              </w:rPr>
              <w:t>r</w:t>
            </w:r>
            <w:r w:rsidRPr="008727EA">
              <w:rPr>
                <w:b/>
                <w:bCs/>
                <w:color w:val="FFFFFF" w:themeColor="background1"/>
              </w:rPr>
              <w:t>eferrals</w:t>
            </w:r>
          </w:p>
        </w:tc>
        <w:tc>
          <w:tcPr>
            <w:tcW w:w="992" w:type="dxa"/>
            <w:shd w:val="clear" w:color="auto" w:fill="808080" w:themeFill="background1" w:themeFillShade="80"/>
            <w:vAlign w:val="center"/>
          </w:tcPr>
          <w:p w14:paraId="330B4DC9" w14:textId="77777777" w:rsidR="006835FB" w:rsidRPr="008727EA" w:rsidRDefault="006835FB" w:rsidP="004E307F">
            <w:pPr>
              <w:jc w:val="right"/>
              <w:rPr>
                <w:b/>
                <w:bCs/>
                <w:color w:val="FFFFFF" w:themeColor="background1"/>
              </w:rPr>
            </w:pPr>
            <w:r w:rsidRPr="008727EA">
              <w:rPr>
                <w:b/>
                <w:bCs/>
                <w:color w:val="FFFFFF" w:themeColor="background1"/>
              </w:rPr>
              <w:t>2018-19</w:t>
            </w:r>
          </w:p>
        </w:tc>
        <w:tc>
          <w:tcPr>
            <w:tcW w:w="992" w:type="dxa"/>
            <w:shd w:val="clear" w:color="auto" w:fill="808080" w:themeFill="background1" w:themeFillShade="80"/>
            <w:vAlign w:val="center"/>
          </w:tcPr>
          <w:p w14:paraId="53B3ED96" w14:textId="77777777" w:rsidR="006835FB" w:rsidRPr="008727EA" w:rsidRDefault="006835FB" w:rsidP="004E307F">
            <w:pPr>
              <w:jc w:val="right"/>
              <w:rPr>
                <w:b/>
                <w:bCs/>
                <w:color w:val="FFFFFF" w:themeColor="background1"/>
              </w:rPr>
            </w:pPr>
            <w:r w:rsidRPr="008727EA">
              <w:rPr>
                <w:b/>
                <w:bCs/>
                <w:color w:val="FFFFFF" w:themeColor="background1"/>
              </w:rPr>
              <w:t>2019-20</w:t>
            </w:r>
          </w:p>
        </w:tc>
      </w:tr>
      <w:tr w:rsidR="006835FB" w:rsidRPr="00904BF9" w14:paraId="26FAE322" w14:textId="77777777" w:rsidTr="004E307F">
        <w:trPr>
          <w:trHeight w:val="300"/>
        </w:trPr>
        <w:tc>
          <w:tcPr>
            <w:tcW w:w="6521" w:type="dxa"/>
            <w:shd w:val="clear" w:color="auto" w:fill="auto"/>
            <w:vAlign w:val="center"/>
          </w:tcPr>
          <w:p w14:paraId="35030689" w14:textId="77777777" w:rsidR="006835FB" w:rsidRPr="00904BF9" w:rsidRDefault="006835FB" w:rsidP="004E307F">
            <w:r w:rsidRPr="00904BF9">
              <w:t>Referrals to service providers</w:t>
            </w:r>
            <w:r w:rsidRPr="00904BF9">
              <w:rPr>
                <w:vertAlign w:val="superscript"/>
              </w:rPr>
              <w:footnoteReference w:id="1"/>
            </w:r>
          </w:p>
        </w:tc>
        <w:tc>
          <w:tcPr>
            <w:tcW w:w="992" w:type="dxa"/>
            <w:shd w:val="clear" w:color="auto" w:fill="auto"/>
            <w:vAlign w:val="center"/>
          </w:tcPr>
          <w:p w14:paraId="501E815F" w14:textId="77777777" w:rsidR="006835FB" w:rsidRPr="000C7FA3" w:rsidRDefault="006835FB" w:rsidP="004E307F">
            <w:pPr>
              <w:jc w:val="right"/>
            </w:pPr>
            <w:r w:rsidRPr="000C7FA3">
              <w:t>81</w:t>
            </w:r>
          </w:p>
        </w:tc>
        <w:tc>
          <w:tcPr>
            <w:tcW w:w="992" w:type="dxa"/>
            <w:shd w:val="clear" w:color="auto" w:fill="auto"/>
            <w:vAlign w:val="center"/>
          </w:tcPr>
          <w:p w14:paraId="3D55FDEB" w14:textId="77777777" w:rsidR="006835FB" w:rsidRPr="000C7FA3" w:rsidRDefault="006835FB" w:rsidP="004E307F">
            <w:pPr>
              <w:jc w:val="right"/>
            </w:pPr>
            <w:r w:rsidRPr="000C7FA3">
              <w:t>402</w:t>
            </w:r>
          </w:p>
        </w:tc>
      </w:tr>
    </w:tbl>
    <w:p w14:paraId="42F253B3" w14:textId="77777777" w:rsidR="006835FB" w:rsidRPr="00302B68" w:rsidRDefault="006835FB" w:rsidP="00011EAD"/>
    <w:p w14:paraId="71CA17CD" w14:textId="378B30AD" w:rsidR="00011EAD" w:rsidRDefault="00011EAD" w:rsidP="00011EAD">
      <w:pPr>
        <w:rPr>
          <w:lang w:val="en-GB"/>
        </w:rPr>
      </w:pPr>
      <w:r>
        <w:rPr>
          <w:lang w:val="en-GB"/>
        </w:rPr>
        <w:t>The increase of referrals in 2019-20 can be attributed to:</w:t>
      </w:r>
    </w:p>
    <w:p w14:paraId="6F6C3BEB" w14:textId="6C3412BE" w:rsidR="00E30E81" w:rsidRDefault="00E30E81" w:rsidP="00E30E81">
      <w:pPr>
        <w:pStyle w:val="ListParagraph"/>
        <w:numPr>
          <w:ilvl w:val="0"/>
          <w:numId w:val="41"/>
        </w:numPr>
      </w:pPr>
      <w:r w:rsidRPr="00011EAD">
        <w:t xml:space="preserve">the operational certainty provided to the Commission through a further funding commitment </w:t>
      </w:r>
      <w:r w:rsidR="00E246B8">
        <w:t>to June 2021</w:t>
      </w:r>
      <w:r w:rsidRPr="00011EAD">
        <w:t xml:space="preserve"> </w:t>
      </w:r>
      <w:r w:rsidR="00A14F61">
        <w:t xml:space="preserve">from </w:t>
      </w:r>
      <w:r w:rsidRPr="00011EAD">
        <w:t xml:space="preserve">the Australian and Queensland Governments </w:t>
      </w:r>
      <w:r>
        <w:t xml:space="preserve">which </w:t>
      </w:r>
      <w:r w:rsidRPr="00011EAD">
        <w:t xml:space="preserve">has encouraged stakeholders </w:t>
      </w:r>
      <w:r>
        <w:t>(</w:t>
      </w:r>
      <w:r w:rsidRPr="00011EAD">
        <w:t>including service providers</w:t>
      </w:r>
      <w:r>
        <w:t>)</w:t>
      </w:r>
      <w:r w:rsidRPr="00011EAD">
        <w:t xml:space="preserve"> to invest in their engagement and refer</w:t>
      </w:r>
      <w:r w:rsidR="00ED0E3C">
        <w:t>r</w:t>
      </w:r>
      <w:r w:rsidRPr="00011EAD">
        <w:t xml:space="preserve">al activities with </w:t>
      </w:r>
      <w:r>
        <w:t xml:space="preserve">the </w:t>
      </w:r>
      <w:r w:rsidRPr="00011EAD">
        <w:t>Commission</w:t>
      </w:r>
    </w:p>
    <w:p w14:paraId="3CB23B18" w14:textId="04EF50D9" w:rsidR="00011EAD" w:rsidRDefault="00011EAD" w:rsidP="00011EAD">
      <w:pPr>
        <w:pStyle w:val="ListParagraph"/>
        <w:numPr>
          <w:ilvl w:val="0"/>
          <w:numId w:val="41"/>
        </w:numPr>
      </w:pPr>
      <w:r w:rsidRPr="00011EAD">
        <w:t>the availability of relevant service providers in each community and their renewed willingness to receive FRC client referrals</w:t>
      </w:r>
      <w:r w:rsidR="00E30E81">
        <w:t xml:space="preserve"> and</w:t>
      </w:r>
    </w:p>
    <w:p w14:paraId="381873AF" w14:textId="7673F976" w:rsidR="00011EAD" w:rsidRPr="00011EAD" w:rsidRDefault="00011EAD" w:rsidP="00011EAD">
      <w:pPr>
        <w:pStyle w:val="ListParagraph"/>
        <w:numPr>
          <w:ilvl w:val="0"/>
          <w:numId w:val="41"/>
        </w:numPr>
      </w:pPr>
      <w:r w:rsidRPr="00011EAD">
        <w:t>the increased confidence and growing capability of Local Commissioners to use a suite of techniques when conferencing clients with complex behaviours.</w:t>
      </w:r>
    </w:p>
    <w:p w14:paraId="1D1AD818" w14:textId="0F991491" w:rsidR="00011EAD" w:rsidRPr="00E15584" w:rsidRDefault="00011EAD" w:rsidP="00011EAD">
      <w:r w:rsidRPr="00E15584">
        <w:rPr>
          <w:lang w:val="en-GB"/>
        </w:rPr>
        <w:t>Where a client has multiple or complex issues to address, Commissioners may refer the client to more than one support service. Referrals to support services may be made on the basis of a</w:t>
      </w:r>
      <w:r w:rsidR="00F92AB1">
        <w:rPr>
          <w:lang w:val="en-GB"/>
        </w:rPr>
        <w:t>n</w:t>
      </w:r>
      <w:r w:rsidRPr="00E15584">
        <w:rPr>
          <w:lang w:val="en-GB"/>
        </w:rPr>
        <w:t xml:space="preserve"> </w:t>
      </w:r>
      <w:r w:rsidR="00CF6757">
        <w:rPr>
          <w:lang w:val="en-GB"/>
        </w:rPr>
        <w:t>FRA</w:t>
      </w:r>
      <w:r w:rsidRPr="00E15584">
        <w:rPr>
          <w:lang w:val="en-GB"/>
        </w:rPr>
        <w:t>, where a client agrees to attend a support service and the client and Commissioners agree on the action to be taken together. Alternatively,</w:t>
      </w:r>
      <w:r>
        <w:rPr>
          <w:lang w:val="en-GB"/>
        </w:rPr>
        <w:t xml:space="preserve"> </w:t>
      </w:r>
      <w:r w:rsidRPr="00644C99">
        <w:rPr>
          <w:lang w:val="en-GB"/>
        </w:rPr>
        <w:t>Commissioners may make a decision to direct a client to attend a support service or services.</w:t>
      </w:r>
      <w:r w:rsidR="00801F43">
        <w:rPr>
          <w:lang w:val="en-GB"/>
        </w:rPr>
        <w:t xml:space="preserve"> </w:t>
      </w:r>
      <w:r>
        <w:t>P</w:t>
      </w:r>
      <w:r w:rsidRPr="00AC0EC6">
        <w:t xml:space="preserve">rogress reports </w:t>
      </w:r>
      <w:r>
        <w:t xml:space="preserve">are </w:t>
      </w:r>
      <w:r w:rsidRPr="00AC0EC6">
        <w:t>received from service providers</w:t>
      </w:r>
      <w:r>
        <w:t xml:space="preserve"> and</w:t>
      </w:r>
      <w:r w:rsidRPr="00AC0EC6">
        <w:t xml:space="preserve"> clients are assessed to determine if they are fulfilling their obligations under the agreement or order. Together with local knowledge, additional information may be sought from agencies and service providers where appropriate to provide the best support possible for the client.</w:t>
      </w:r>
      <w:r>
        <w:t xml:space="preserve"> The Commission is aided in this capacity by Part 8 of the FRC Act which outlines sophisticated provisions about information exchange between the FRC and relevant entities. </w:t>
      </w:r>
      <w:r w:rsidRPr="00E15584">
        <w:t xml:space="preserve">Service providers </w:t>
      </w:r>
      <w:r>
        <w:t xml:space="preserve">and other persons who can make a useful contribution to the conferencing process </w:t>
      </w:r>
      <w:r w:rsidRPr="00E15584">
        <w:t>are encouraged to attend conference proceedings and discuss the decision-making processes with the Commissioners.</w:t>
      </w:r>
    </w:p>
    <w:p w14:paraId="6DC66F81" w14:textId="77777777" w:rsidR="00011EAD" w:rsidRDefault="00011EAD" w:rsidP="00110290"/>
    <w:p w14:paraId="3AFA36A5" w14:textId="6359CA41" w:rsidR="00E15584" w:rsidRPr="00E15584" w:rsidRDefault="00E15584" w:rsidP="004024CE">
      <w:pPr>
        <w:pStyle w:val="Heading3"/>
      </w:pPr>
      <w:r w:rsidRPr="00E15584">
        <w:t>Income management</w:t>
      </w:r>
      <w:r w:rsidR="00774570">
        <w:t xml:space="preserve"> continues to be ‘an order of last resort’</w:t>
      </w:r>
    </w:p>
    <w:p w14:paraId="2A1ED1F9" w14:textId="0F2162A3" w:rsidR="007F09DE" w:rsidRDefault="00E15584" w:rsidP="004024CE">
      <w:r w:rsidRPr="00E15584">
        <w:t xml:space="preserve">At conference, a decision may be made to issue a client with a </w:t>
      </w:r>
      <w:r w:rsidR="00CF5BF4">
        <w:t>CIM</w:t>
      </w:r>
      <w:r w:rsidRPr="00E15584">
        <w:t xml:space="preserve"> order. Due consideration is given firstly to the individual circumstances of the client and whether alternative action is more appropriate. </w:t>
      </w:r>
      <w:r w:rsidR="00351A87">
        <w:t xml:space="preserve">CIM orders are </w:t>
      </w:r>
      <w:r w:rsidR="00BB46F8">
        <w:t>considered</w:t>
      </w:r>
      <w:r w:rsidR="00351A87">
        <w:t xml:space="preserve"> </w:t>
      </w:r>
      <w:r w:rsidR="00BB46F8">
        <w:t>a</w:t>
      </w:r>
      <w:r w:rsidR="00351A87">
        <w:t xml:space="preserve">s a last resort, with </w:t>
      </w:r>
      <w:r w:rsidRPr="00E15584">
        <w:t xml:space="preserve">Commissioners </w:t>
      </w:r>
      <w:r w:rsidR="009562FF">
        <w:t>endeavour</w:t>
      </w:r>
      <w:r w:rsidR="00351A87">
        <w:t>ing</w:t>
      </w:r>
      <w:r w:rsidR="009562FF">
        <w:t xml:space="preserve"> to </w:t>
      </w:r>
      <w:r w:rsidRPr="00E15584">
        <w:t>enter into a</w:t>
      </w:r>
      <w:r w:rsidR="00DD614C">
        <w:t>n</w:t>
      </w:r>
      <w:r w:rsidRPr="00E15584">
        <w:t xml:space="preserve"> </w:t>
      </w:r>
      <w:r w:rsidR="00CF6757">
        <w:t>FRA</w:t>
      </w:r>
      <w:r w:rsidRPr="00E15584">
        <w:t xml:space="preserve"> with the client agreeing to </w:t>
      </w:r>
      <w:r w:rsidR="0025564D">
        <w:t>i</w:t>
      </w:r>
      <w:r w:rsidRPr="00E15584">
        <w:t xml:space="preserve">ncome </w:t>
      </w:r>
      <w:r w:rsidR="0025564D">
        <w:t>m</w:t>
      </w:r>
      <w:r w:rsidRPr="00E15584">
        <w:t>anagement</w:t>
      </w:r>
      <w:r w:rsidR="009562FF">
        <w:t xml:space="preserve"> in the first instance</w:t>
      </w:r>
      <w:r w:rsidRPr="00E15584">
        <w:t>.</w:t>
      </w:r>
    </w:p>
    <w:p w14:paraId="2C0F24E5" w14:textId="63F06884" w:rsidR="00E15584" w:rsidRDefault="007F09DE" w:rsidP="004024CE">
      <w:r w:rsidRPr="007F09DE">
        <w:lastRenderedPageBreak/>
        <w:t xml:space="preserve">The Commissioners utilise </w:t>
      </w:r>
      <w:r w:rsidR="00A36168">
        <w:t>CIM as a</w:t>
      </w:r>
      <w:r w:rsidRPr="007F09DE">
        <w:t xml:space="preserve"> tool to support people and children at risk, promote socially responsible choices, and as an incentive to meet individual and community obligations</w:t>
      </w:r>
      <w:r w:rsidR="009562FF">
        <w:t xml:space="preserve"> by drawing together a network of support services to focus on the individual’s skills gaps (social and economic)</w:t>
      </w:r>
      <w:r w:rsidRPr="007F09DE">
        <w:t>.</w:t>
      </w:r>
      <w:r>
        <w:t xml:space="preserve"> </w:t>
      </w:r>
      <w:r w:rsidR="00E15584" w:rsidRPr="00E15584">
        <w:t>CIM</w:t>
      </w:r>
      <w:r w:rsidR="00672FFF">
        <w:t>s</w:t>
      </w:r>
      <w:r w:rsidR="00E15584" w:rsidRPr="00E15584">
        <w:t xml:space="preserve"> are issued for a defined period (no</w:t>
      </w:r>
      <w:r w:rsidR="00525A2F">
        <w:t xml:space="preserve"> longer than</w:t>
      </w:r>
      <w:r w:rsidR="00E15584" w:rsidRPr="00E15584">
        <w:t xml:space="preserve"> 12 months) with the Commissioners determining whether 60, 75 or 90 percent of fortnightly welfare payments are managed. </w:t>
      </w:r>
      <w:r w:rsidR="002E6906">
        <w:t xml:space="preserve">Clients may apply to the Commission to have their CIM amended </w:t>
      </w:r>
      <w:r w:rsidR="0036470F">
        <w:t>or</w:t>
      </w:r>
      <w:r w:rsidR="002E6906">
        <w:t xml:space="preserve"> ended. </w:t>
      </w:r>
      <w:r w:rsidR="00E15584" w:rsidRPr="00E15584">
        <w:t xml:space="preserve">Commissioners </w:t>
      </w:r>
      <w:r w:rsidR="002E6906">
        <w:t>consider each application to ascertain whether the client has made sufficient progress to justify an amend or end decision</w:t>
      </w:r>
      <w:r w:rsidR="007C5C2C">
        <w:t>.</w:t>
      </w:r>
    </w:p>
    <w:p w14:paraId="5C072D92" w14:textId="1E451AD7" w:rsidR="00E15584" w:rsidRPr="00E15584" w:rsidRDefault="005863E6" w:rsidP="004024CE">
      <w:r>
        <w:t>A community member</w:t>
      </w:r>
      <w:r w:rsidR="00E15584" w:rsidRPr="00E15584">
        <w:t xml:space="preserve"> may also enter into a</w:t>
      </w:r>
      <w:r w:rsidR="00651C71">
        <w:t xml:space="preserve"> Voluntary</w:t>
      </w:r>
      <w:r w:rsidR="00E15584" w:rsidRPr="00E15584">
        <w:t xml:space="preserve"> Income Management </w:t>
      </w:r>
      <w:r w:rsidR="00651C71">
        <w:t>(VIM)</w:t>
      </w:r>
      <w:r w:rsidR="00651C71" w:rsidRPr="00E15584">
        <w:t xml:space="preserve"> </w:t>
      </w:r>
      <w:r w:rsidR="00E15584" w:rsidRPr="00E15584">
        <w:t>agreement</w:t>
      </w:r>
      <w:r>
        <w:t xml:space="preserve"> </w:t>
      </w:r>
      <w:r w:rsidR="00E15584" w:rsidRPr="00E15584">
        <w:t xml:space="preserve">to assist them to manage their budget and meet the costs of everyday essentials. </w:t>
      </w:r>
      <w:r w:rsidR="007F09DE">
        <w:t>The Commissioners consider the number of VIM</w:t>
      </w:r>
      <w:r w:rsidR="00F70839">
        <w:t xml:space="preserve"> agreements</w:t>
      </w:r>
      <w:r w:rsidR="007F09DE">
        <w:t xml:space="preserve"> </w:t>
      </w:r>
      <w:r w:rsidR="008A6165">
        <w:t>entered into</w:t>
      </w:r>
      <w:r w:rsidR="007F09DE">
        <w:t xml:space="preserve"> as indicative of </w:t>
      </w:r>
      <w:r w:rsidR="00461B59">
        <w:t xml:space="preserve">a willingness </w:t>
      </w:r>
      <w:r w:rsidR="00181AFF">
        <w:t xml:space="preserve">of community members to </w:t>
      </w:r>
      <w:r w:rsidR="00461B59">
        <w:t xml:space="preserve">take responsibility, to look after family members, and </w:t>
      </w:r>
      <w:r w:rsidR="008A6165">
        <w:t>a</w:t>
      </w:r>
      <w:r w:rsidR="00181AFF">
        <w:t>s a general</w:t>
      </w:r>
      <w:r w:rsidR="008A6165">
        <w:t xml:space="preserve"> </w:t>
      </w:r>
      <w:r w:rsidR="007F09DE">
        <w:t>improv</w:t>
      </w:r>
      <w:r w:rsidR="008A6165">
        <w:t xml:space="preserve">ement </w:t>
      </w:r>
      <w:r w:rsidR="00F70839">
        <w:t>in</w:t>
      </w:r>
      <w:r w:rsidR="008A6165">
        <w:t xml:space="preserve"> community</w:t>
      </w:r>
      <w:r w:rsidR="007F09DE">
        <w:t xml:space="preserve"> social norms.</w:t>
      </w:r>
      <w:r>
        <w:t xml:space="preserve"> VIM agreements are a</w:t>
      </w:r>
      <w:r w:rsidR="00181AFF">
        <w:t xml:space="preserve"> useful </w:t>
      </w:r>
      <w:r>
        <w:t xml:space="preserve">tool to assist elderly community members (who have not </w:t>
      </w:r>
      <w:r w:rsidR="00181AFF">
        <w:t xml:space="preserve">otherwise </w:t>
      </w:r>
      <w:r>
        <w:t>been referred to the FRC) to ensure their welfare payments are expended on their own needs</w:t>
      </w:r>
      <w:r w:rsidR="00BB46F8">
        <w:t>.</w:t>
      </w:r>
    </w:p>
    <w:p w14:paraId="41EF91A1" w14:textId="6D72644E" w:rsidR="004B3FC2" w:rsidRDefault="002443C5" w:rsidP="004024CE">
      <w:r>
        <w:t xml:space="preserve">As demonstrated in the table </w:t>
      </w:r>
      <w:r w:rsidR="004B3FC2">
        <w:t>following</w:t>
      </w:r>
      <w:r>
        <w:t>, t</w:t>
      </w:r>
      <w:r w:rsidR="00E15584" w:rsidRPr="00E15584">
        <w:t xml:space="preserve">he </w:t>
      </w:r>
      <w:r w:rsidR="00C44D21">
        <w:t xml:space="preserve">growing </w:t>
      </w:r>
      <w:r w:rsidR="00E15584" w:rsidRPr="00E15584">
        <w:t xml:space="preserve">number of clients placed on a case plan without a CIM </w:t>
      </w:r>
      <w:r>
        <w:t xml:space="preserve">during this reporting period </w:t>
      </w:r>
      <w:r w:rsidR="00E15584" w:rsidRPr="00E15584">
        <w:t>clearly demonstrates that income management is delivered with a highly targeted and flexible approach</w:t>
      </w:r>
      <w:r w:rsidR="00C44D21">
        <w:t xml:space="preserve"> nuanced to the client’s circumstances</w:t>
      </w:r>
      <w:r w:rsidR="007C5C2C">
        <w:t>.</w:t>
      </w:r>
    </w:p>
    <w:p w14:paraId="1467D03A" w14:textId="1E7CAC5F" w:rsidR="004B3FC2" w:rsidRDefault="004B3FC2">
      <w:pPr>
        <w:spacing w:after="160" w:line="259" w:lineRule="auto"/>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992"/>
        <w:gridCol w:w="992"/>
      </w:tblGrid>
      <w:tr w:rsidR="00F70839" w:rsidRPr="00F70839" w14:paraId="7F585742" w14:textId="77777777" w:rsidTr="00061BEF">
        <w:trPr>
          <w:trHeight w:val="300"/>
        </w:trPr>
        <w:tc>
          <w:tcPr>
            <w:tcW w:w="6521" w:type="dxa"/>
            <w:shd w:val="clear" w:color="auto" w:fill="808080" w:themeFill="background1" w:themeFillShade="80"/>
            <w:vAlign w:val="center"/>
          </w:tcPr>
          <w:p w14:paraId="2E304FA4" w14:textId="77777777" w:rsidR="00F70839" w:rsidRPr="008727EA" w:rsidRDefault="00F70839" w:rsidP="004024CE">
            <w:pPr>
              <w:rPr>
                <w:b/>
                <w:bCs/>
                <w:color w:val="FFFFFF" w:themeColor="background1"/>
              </w:rPr>
            </w:pPr>
            <w:r w:rsidRPr="008727EA">
              <w:rPr>
                <w:b/>
                <w:bCs/>
                <w:color w:val="FFFFFF" w:themeColor="background1"/>
              </w:rPr>
              <w:t>Clients placed on case plans and CIMs for the financial year</w:t>
            </w:r>
            <w:r w:rsidRPr="008727EA">
              <w:rPr>
                <w:b/>
                <w:bCs/>
                <w:color w:val="FFFFFF" w:themeColor="background1"/>
                <w:vertAlign w:val="superscript"/>
              </w:rPr>
              <w:footnoteReference w:id="2"/>
            </w:r>
          </w:p>
        </w:tc>
        <w:tc>
          <w:tcPr>
            <w:tcW w:w="992" w:type="dxa"/>
            <w:shd w:val="clear" w:color="auto" w:fill="808080" w:themeFill="background1" w:themeFillShade="80"/>
            <w:vAlign w:val="center"/>
          </w:tcPr>
          <w:p w14:paraId="0E6C0153" w14:textId="365C96A8" w:rsidR="00F70839" w:rsidRPr="008727EA" w:rsidRDefault="00A17E48" w:rsidP="002E4055">
            <w:pPr>
              <w:jc w:val="right"/>
              <w:rPr>
                <w:b/>
                <w:bCs/>
                <w:color w:val="FFFFFF" w:themeColor="background1"/>
              </w:rPr>
            </w:pPr>
            <w:r w:rsidRPr="008727EA">
              <w:rPr>
                <w:b/>
                <w:bCs/>
                <w:color w:val="FFFFFF" w:themeColor="background1"/>
              </w:rPr>
              <w:t>2018-19</w:t>
            </w:r>
          </w:p>
        </w:tc>
        <w:tc>
          <w:tcPr>
            <w:tcW w:w="992" w:type="dxa"/>
            <w:shd w:val="clear" w:color="auto" w:fill="808080" w:themeFill="background1" w:themeFillShade="80"/>
            <w:vAlign w:val="center"/>
          </w:tcPr>
          <w:p w14:paraId="607B9036" w14:textId="0BDEBB05" w:rsidR="00F70839" w:rsidRPr="008727EA" w:rsidRDefault="00A17E48" w:rsidP="002E4055">
            <w:pPr>
              <w:jc w:val="right"/>
              <w:rPr>
                <w:b/>
                <w:bCs/>
                <w:color w:val="FFFFFF" w:themeColor="background1"/>
              </w:rPr>
            </w:pPr>
            <w:r w:rsidRPr="008727EA">
              <w:rPr>
                <w:b/>
                <w:bCs/>
                <w:color w:val="FFFFFF" w:themeColor="background1"/>
              </w:rPr>
              <w:t>2019-20</w:t>
            </w:r>
          </w:p>
        </w:tc>
      </w:tr>
      <w:tr w:rsidR="00F70839" w:rsidRPr="00F70839" w14:paraId="71F5EC6E" w14:textId="77777777" w:rsidTr="00746B71">
        <w:trPr>
          <w:trHeight w:val="300"/>
        </w:trPr>
        <w:tc>
          <w:tcPr>
            <w:tcW w:w="6521" w:type="dxa"/>
            <w:shd w:val="clear" w:color="auto" w:fill="auto"/>
            <w:vAlign w:val="center"/>
          </w:tcPr>
          <w:p w14:paraId="7B18718A" w14:textId="77777777" w:rsidR="00F70839" w:rsidRPr="00F70839" w:rsidRDefault="00F70839" w:rsidP="004024CE">
            <w:r w:rsidRPr="00F70839">
              <w:t>Number of clients placed on a case plan and CIM</w:t>
            </w:r>
          </w:p>
        </w:tc>
        <w:tc>
          <w:tcPr>
            <w:tcW w:w="992" w:type="dxa"/>
            <w:shd w:val="clear" w:color="auto" w:fill="auto"/>
            <w:vAlign w:val="center"/>
          </w:tcPr>
          <w:p w14:paraId="73C8B0FE" w14:textId="77777777" w:rsidR="00F70839" w:rsidRPr="00F70839" w:rsidRDefault="00F70839" w:rsidP="002E4055">
            <w:pPr>
              <w:jc w:val="right"/>
            </w:pPr>
            <w:r w:rsidRPr="00F70839">
              <w:t>36</w:t>
            </w:r>
          </w:p>
        </w:tc>
        <w:tc>
          <w:tcPr>
            <w:tcW w:w="992" w:type="dxa"/>
            <w:shd w:val="clear" w:color="auto" w:fill="auto"/>
            <w:vAlign w:val="center"/>
          </w:tcPr>
          <w:p w14:paraId="753AF5D5" w14:textId="77777777" w:rsidR="00F70839" w:rsidRPr="00F70839" w:rsidRDefault="00F70839" w:rsidP="002E4055">
            <w:pPr>
              <w:jc w:val="right"/>
            </w:pPr>
            <w:r w:rsidRPr="00F70839">
              <w:t>112</w:t>
            </w:r>
          </w:p>
        </w:tc>
      </w:tr>
      <w:tr w:rsidR="00F70839" w:rsidRPr="00F70839" w14:paraId="55BB89C6" w14:textId="77777777" w:rsidTr="00746B71">
        <w:trPr>
          <w:trHeight w:val="300"/>
        </w:trPr>
        <w:tc>
          <w:tcPr>
            <w:tcW w:w="6521" w:type="dxa"/>
            <w:shd w:val="clear" w:color="auto" w:fill="auto"/>
            <w:vAlign w:val="center"/>
          </w:tcPr>
          <w:p w14:paraId="027C2223" w14:textId="77777777" w:rsidR="00F70839" w:rsidRPr="00F70839" w:rsidRDefault="00F70839" w:rsidP="004024CE">
            <w:r w:rsidRPr="00F70839">
              <w:t>Number of clients placed on a case plan without a CIM</w:t>
            </w:r>
          </w:p>
        </w:tc>
        <w:tc>
          <w:tcPr>
            <w:tcW w:w="992" w:type="dxa"/>
            <w:shd w:val="clear" w:color="auto" w:fill="auto"/>
            <w:vAlign w:val="center"/>
          </w:tcPr>
          <w:p w14:paraId="6F365B06" w14:textId="77777777" w:rsidR="00F70839" w:rsidRPr="00F70839" w:rsidRDefault="00F70839" w:rsidP="002E4055">
            <w:pPr>
              <w:jc w:val="right"/>
            </w:pPr>
            <w:r w:rsidRPr="00F70839">
              <w:t>37</w:t>
            </w:r>
          </w:p>
        </w:tc>
        <w:tc>
          <w:tcPr>
            <w:tcW w:w="992" w:type="dxa"/>
            <w:shd w:val="clear" w:color="auto" w:fill="auto"/>
            <w:vAlign w:val="center"/>
          </w:tcPr>
          <w:p w14:paraId="134EEBDF" w14:textId="77777777" w:rsidR="00F70839" w:rsidRPr="00F70839" w:rsidRDefault="00F70839" w:rsidP="002E4055">
            <w:pPr>
              <w:jc w:val="right"/>
            </w:pPr>
            <w:r w:rsidRPr="00F70839">
              <w:t>174</w:t>
            </w:r>
          </w:p>
        </w:tc>
      </w:tr>
      <w:tr w:rsidR="00F70839" w:rsidRPr="00F70839" w14:paraId="730D0543" w14:textId="77777777" w:rsidTr="00746B71">
        <w:trPr>
          <w:trHeight w:val="300"/>
        </w:trPr>
        <w:tc>
          <w:tcPr>
            <w:tcW w:w="6521" w:type="dxa"/>
            <w:shd w:val="clear" w:color="auto" w:fill="auto"/>
            <w:vAlign w:val="center"/>
          </w:tcPr>
          <w:p w14:paraId="16A160E0" w14:textId="41181D98" w:rsidR="00F70839" w:rsidRPr="00F70839" w:rsidRDefault="00F70839" w:rsidP="004024CE">
            <w:r w:rsidRPr="00F70839">
              <w:t>Number of clients placed on a CIM without a case plan</w:t>
            </w:r>
          </w:p>
        </w:tc>
        <w:tc>
          <w:tcPr>
            <w:tcW w:w="992" w:type="dxa"/>
            <w:shd w:val="clear" w:color="auto" w:fill="auto"/>
            <w:vAlign w:val="center"/>
          </w:tcPr>
          <w:p w14:paraId="480E3316" w14:textId="77777777" w:rsidR="00F70839" w:rsidRPr="00F70839" w:rsidRDefault="00F70839" w:rsidP="002E4055">
            <w:pPr>
              <w:jc w:val="right"/>
            </w:pPr>
            <w:r w:rsidRPr="00F70839">
              <w:t>140</w:t>
            </w:r>
          </w:p>
        </w:tc>
        <w:tc>
          <w:tcPr>
            <w:tcW w:w="992" w:type="dxa"/>
            <w:shd w:val="clear" w:color="auto" w:fill="auto"/>
            <w:vAlign w:val="center"/>
          </w:tcPr>
          <w:p w14:paraId="63CAB84B" w14:textId="77777777" w:rsidR="00F70839" w:rsidRPr="00F70839" w:rsidRDefault="00F70839" w:rsidP="002E4055">
            <w:pPr>
              <w:jc w:val="right"/>
            </w:pPr>
            <w:r w:rsidRPr="00F70839">
              <w:t>53</w:t>
            </w:r>
          </w:p>
        </w:tc>
      </w:tr>
    </w:tbl>
    <w:p w14:paraId="194C99A2" w14:textId="5AA81EEB" w:rsidR="00F70839" w:rsidRDefault="00F70839" w:rsidP="004024CE"/>
    <w:p w14:paraId="0B5FC0D1" w14:textId="77777777" w:rsidR="00E15584" w:rsidRPr="00E15584" w:rsidRDefault="00E15584" w:rsidP="004024CE">
      <w:pPr>
        <w:pStyle w:val="Heading3"/>
      </w:pPr>
      <w:r w:rsidRPr="00E15584">
        <w:t>Applications to amend or end agreements or orders</w:t>
      </w:r>
    </w:p>
    <w:p w14:paraId="7374BAAF" w14:textId="6F5C89CA" w:rsidR="00E15584" w:rsidRDefault="00C07A5D" w:rsidP="0064149E">
      <w:pPr>
        <w:spacing w:after="240"/>
      </w:pPr>
      <w:r w:rsidRPr="00C07A5D">
        <w:t xml:space="preserve">Applications to </w:t>
      </w:r>
      <w:r w:rsidR="005C1144">
        <w:t>a</w:t>
      </w:r>
      <w:r w:rsidRPr="00C07A5D">
        <w:t xml:space="preserve">mend or </w:t>
      </w:r>
      <w:r w:rsidR="005C1144">
        <w:t>e</w:t>
      </w:r>
      <w:r w:rsidRPr="00C07A5D">
        <w:t xml:space="preserve">nd </w:t>
      </w:r>
      <w:r>
        <w:t xml:space="preserve">an </w:t>
      </w:r>
      <w:r w:rsidR="00505504">
        <w:t xml:space="preserve">agreement or </w:t>
      </w:r>
      <w:r>
        <w:t xml:space="preserve">order </w:t>
      </w:r>
      <w:r w:rsidRPr="00C07A5D">
        <w:t xml:space="preserve">are </w:t>
      </w:r>
      <w:r>
        <w:t xml:space="preserve">considered </w:t>
      </w:r>
      <w:r w:rsidRPr="00C07A5D">
        <w:t xml:space="preserve">an important </w:t>
      </w:r>
      <w:r w:rsidR="00AB4AED">
        <w:t>means of</w:t>
      </w:r>
      <w:r w:rsidRPr="00C07A5D">
        <w:t xml:space="preserve"> ensur</w:t>
      </w:r>
      <w:r w:rsidR="00AB4AED">
        <w:t>ing</w:t>
      </w:r>
      <w:r w:rsidRPr="00C07A5D">
        <w:t xml:space="preserve"> that FRC decisions remain applicable to </w:t>
      </w:r>
      <w:r>
        <w:t>the</w:t>
      </w:r>
      <w:r w:rsidRPr="00C07A5D">
        <w:t xml:space="preserve"> changing needs</w:t>
      </w:r>
      <w:r>
        <w:t xml:space="preserve"> and </w:t>
      </w:r>
      <w:r w:rsidRPr="00C07A5D">
        <w:t xml:space="preserve">circumstances </w:t>
      </w:r>
      <w:r>
        <w:t xml:space="preserve">of clients. </w:t>
      </w:r>
      <w:r w:rsidR="004B3FC2">
        <w:t>This mechanism affords c</w:t>
      </w:r>
      <w:r w:rsidR="00E15584" w:rsidRPr="00E15584">
        <w:t xml:space="preserve">lients </w:t>
      </w:r>
      <w:r w:rsidR="004B3FC2">
        <w:t>an opportunity to</w:t>
      </w:r>
      <w:r w:rsidR="00E15584" w:rsidRPr="00E15584">
        <w:t xml:space="preserve"> </w:t>
      </w:r>
      <w:r w:rsidR="00F73008" w:rsidRPr="00E15584">
        <w:t>apply</w:t>
      </w:r>
      <w:r w:rsidR="00E15584" w:rsidRPr="00E15584">
        <w:t xml:space="preserve"> to </w:t>
      </w:r>
      <w:r w:rsidR="00F73008">
        <w:t xml:space="preserve">the Commission to </w:t>
      </w:r>
      <w:r w:rsidR="00E15584" w:rsidRPr="00E15584">
        <w:t xml:space="preserve">amend or end their agreement or </w:t>
      </w:r>
      <w:r w:rsidR="004B3FC2">
        <w:t xml:space="preserve">original </w:t>
      </w:r>
      <w:r w:rsidR="00E15584" w:rsidRPr="00E15584">
        <w:t>order</w:t>
      </w:r>
      <w:r w:rsidR="00F73008">
        <w:t xml:space="preserve"> </w:t>
      </w:r>
      <w:r w:rsidR="004B3FC2">
        <w:t xml:space="preserve">by </w:t>
      </w:r>
      <w:r w:rsidR="00F73008">
        <w:t xml:space="preserve">providing their reasons for </w:t>
      </w:r>
      <w:r w:rsidR="004B3FC2">
        <w:t>making</w:t>
      </w:r>
      <w:r w:rsidR="00F73008">
        <w:t xml:space="preserve"> the application</w:t>
      </w:r>
      <w:r w:rsidR="00E15584" w:rsidRPr="00E15584">
        <w:t xml:space="preserve">. Commissioners view the hearing of the applications as an opportunity to engage with clients. </w:t>
      </w:r>
      <w:r w:rsidR="00F73008">
        <w:t>E</w:t>
      </w:r>
      <w:r w:rsidR="00E15584" w:rsidRPr="00E15584">
        <w:t xml:space="preserve">ach application is considered </w:t>
      </w:r>
      <w:r w:rsidR="00F73008">
        <w:t xml:space="preserve">by the Commissioners </w:t>
      </w:r>
      <w:r w:rsidR="00BB46F8">
        <w:t xml:space="preserve">on its own merit whilst </w:t>
      </w:r>
      <w:r w:rsidR="00F73008">
        <w:t xml:space="preserve">observing </w:t>
      </w:r>
      <w:r w:rsidR="005C1144">
        <w:t xml:space="preserve">the principles of </w:t>
      </w:r>
      <w:r w:rsidR="00F73008">
        <w:t>natural justice</w:t>
      </w:r>
      <w:r w:rsidR="00E15584" w:rsidRPr="00E15584">
        <w:t xml:space="preserve">. </w:t>
      </w:r>
      <w:r>
        <w:t xml:space="preserve">A decision on the application is made pursuant to </w:t>
      </w:r>
      <w:r w:rsidR="00CB35B0">
        <w:t>s</w:t>
      </w:r>
      <w:r>
        <w:t xml:space="preserve">ection 99 </w:t>
      </w:r>
      <w:r w:rsidR="00955427">
        <w:t>or</w:t>
      </w:r>
      <w:r w:rsidR="00672FFF">
        <w:t xml:space="preserve"> </w:t>
      </w:r>
      <w:r w:rsidR="008C2B78">
        <w:t xml:space="preserve">section </w:t>
      </w:r>
      <w:r w:rsidR="00672FFF">
        <w:t xml:space="preserve">109 </w:t>
      </w:r>
      <w:r>
        <w:t xml:space="preserve">of the FRC Act and may include either agreeing or refusing to amend </w:t>
      </w:r>
      <w:r w:rsidR="005C1144">
        <w:t xml:space="preserve">or end </w:t>
      </w:r>
      <w:r>
        <w:t>an agreement or order</w:t>
      </w:r>
      <w:r w:rsidR="005C1144">
        <w:t>, or if the Commissioners deem the application frivolous or vexatious, dismissing the application</w:t>
      </w:r>
      <w:r>
        <w:t xml:space="preserve">. </w:t>
      </w:r>
      <w:r w:rsidR="005C1144">
        <w:t>The opportunity afforded in hearing these applications is utilised by the Commissioners to</w:t>
      </w:r>
      <w:r w:rsidR="00E15584" w:rsidRPr="00E15584">
        <w:t xml:space="preserve"> encourage </w:t>
      </w:r>
      <w:r w:rsidR="005C1144">
        <w:t xml:space="preserve">clients </w:t>
      </w:r>
      <w:r w:rsidR="00E15584" w:rsidRPr="00E15584">
        <w:t>to continue to address any remaining challenges and to exercise personal responsibility in their lives.</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992"/>
        <w:gridCol w:w="992"/>
      </w:tblGrid>
      <w:tr w:rsidR="0051129D" w:rsidRPr="00F70839" w14:paraId="00E6A106" w14:textId="77777777" w:rsidTr="00061BEF">
        <w:trPr>
          <w:trHeight w:val="300"/>
        </w:trPr>
        <w:tc>
          <w:tcPr>
            <w:tcW w:w="6521" w:type="dxa"/>
            <w:shd w:val="clear" w:color="auto" w:fill="808080" w:themeFill="background1" w:themeFillShade="80"/>
            <w:vAlign w:val="center"/>
          </w:tcPr>
          <w:p w14:paraId="13EF49BE" w14:textId="12F81983" w:rsidR="0051129D" w:rsidRPr="008727EA" w:rsidRDefault="00746B71" w:rsidP="004024CE">
            <w:pPr>
              <w:rPr>
                <w:b/>
                <w:bCs/>
                <w:color w:val="FFFFFF" w:themeColor="background1"/>
              </w:rPr>
            </w:pPr>
            <w:r w:rsidRPr="008727EA">
              <w:rPr>
                <w:b/>
                <w:bCs/>
                <w:color w:val="FFFFFF" w:themeColor="background1"/>
              </w:rPr>
              <w:t xml:space="preserve">Amend </w:t>
            </w:r>
            <w:r w:rsidR="009716CF" w:rsidRPr="008727EA">
              <w:rPr>
                <w:b/>
                <w:bCs/>
                <w:color w:val="FFFFFF" w:themeColor="background1"/>
              </w:rPr>
              <w:t xml:space="preserve">or </w:t>
            </w:r>
            <w:r w:rsidRPr="008727EA">
              <w:rPr>
                <w:b/>
                <w:bCs/>
                <w:color w:val="FFFFFF" w:themeColor="background1"/>
              </w:rPr>
              <w:t>end applications received</w:t>
            </w:r>
            <w:r w:rsidR="0051129D" w:rsidRPr="008727EA">
              <w:rPr>
                <w:b/>
                <w:bCs/>
                <w:color w:val="FFFFFF" w:themeColor="background1"/>
              </w:rPr>
              <w:t xml:space="preserve"> for the financial year</w:t>
            </w:r>
          </w:p>
        </w:tc>
        <w:tc>
          <w:tcPr>
            <w:tcW w:w="992" w:type="dxa"/>
            <w:shd w:val="clear" w:color="auto" w:fill="808080" w:themeFill="background1" w:themeFillShade="80"/>
            <w:vAlign w:val="center"/>
          </w:tcPr>
          <w:p w14:paraId="5DECBEC3" w14:textId="77777777" w:rsidR="0051129D" w:rsidRPr="008727EA" w:rsidRDefault="0051129D" w:rsidP="002E4055">
            <w:pPr>
              <w:jc w:val="right"/>
              <w:rPr>
                <w:b/>
                <w:bCs/>
                <w:color w:val="FFFFFF" w:themeColor="background1"/>
              </w:rPr>
            </w:pPr>
            <w:r w:rsidRPr="008727EA">
              <w:rPr>
                <w:b/>
                <w:bCs/>
                <w:color w:val="FFFFFF" w:themeColor="background1"/>
              </w:rPr>
              <w:t>2018-19</w:t>
            </w:r>
          </w:p>
        </w:tc>
        <w:tc>
          <w:tcPr>
            <w:tcW w:w="992" w:type="dxa"/>
            <w:shd w:val="clear" w:color="auto" w:fill="808080" w:themeFill="background1" w:themeFillShade="80"/>
            <w:vAlign w:val="center"/>
          </w:tcPr>
          <w:p w14:paraId="5E5F1648" w14:textId="77777777" w:rsidR="0051129D" w:rsidRPr="008727EA" w:rsidRDefault="0051129D" w:rsidP="002E4055">
            <w:pPr>
              <w:jc w:val="right"/>
              <w:rPr>
                <w:b/>
                <w:bCs/>
                <w:color w:val="FFFFFF" w:themeColor="background1"/>
              </w:rPr>
            </w:pPr>
            <w:r w:rsidRPr="008727EA">
              <w:rPr>
                <w:b/>
                <w:bCs/>
                <w:color w:val="FFFFFF" w:themeColor="background1"/>
              </w:rPr>
              <w:t>2019-20</w:t>
            </w:r>
          </w:p>
        </w:tc>
      </w:tr>
      <w:tr w:rsidR="0051129D" w:rsidRPr="00F70839" w14:paraId="7ABA753B" w14:textId="77777777" w:rsidTr="006646A2">
        <w:trPr>
          <w:trHeight w:val="300"/>
        </w:trPr>
        <w:tc>
          <w:tcPr>
            <w:tcW w:w="6521" w:type="dxa"/>
            <w:shd w:val="clear" w:color="auto" w:fill="auto"/>
            <w:vAlign w:val="center"/>
          </w:tcPr>
          <w:p w14:paraId="2ABC26FE" w14:textId="2B49D125" w:rsidR="0051129D" w:rsidRPr="00F70839" w:rsidRDefault="0051129D" w:rsidP="004024CE">
            <w:r w:rsidRPr="0051129D">
              <w:t xml:space="preserve">Applications to </w:t>
            </w:r>
            <w:r w:rsidR="00242687">
              <w:t>a</w:t>
            </w:r>
            <w:r w:rsidRPr="0051129D">
              <w:t xml:space="preserve">mend or </w:t>
            </w:r>
            <w:r w:rsidR="00242687">
              <w:t>e</w:t>
            </w:r>
            <w:r w:rsidRPr="0051129D">
              <w:t>nd received</w:t>
            </w:r>
          </w:p>
        </w:tc>
        <w:tc>
          <w:tcPr>
            <w:tcW w:w="992" w:type="dxa"/>
            <w:shd w:val="clear" w:color="auto" w:fill="auto"/>
            <w:vAlign w:val="center"/>
          </w:tcPr>
          <w:p w14:paraId="0F30A084" w14:textId="049A445C" w:rsidR="0051129D" w:rsidRPr="00F70839" w:rsidRDefault="0051129D" w:rsidP="002E4055">
            <w:pPr>
              <w:jc w:val="right"/>
            </w:pPr>
            <w:r>
              <w:t>56</w:t>
            </w:r>
          </w:p>
        </w:tc>
        <w:tc>
          <w:tcPr>
            <w:tcW w:w="992" w:type="dxa"/>
            <w:shd w:val="clear" w:color="auto" w:fill="auto"/>
            <w:vAlign w:val="center"/>
          </w:tcPr>
          <w:p w14:paraId="578A9672" w14:textId="75509B53" w:rsidR="0051129D" w:rsidRPr="00F70839" w:rsidRDefault="0051129D" w:rsidP="002E4055">
            <w:pPr>
              <w:jc w:val="right"/>
            </w:pPr>
            <w:r>
              <w:t>62</w:t>
            </w:r>
          </w:p>
        </w:tc>
      </w:tr>
    </w:tbl>
    <w:p w14:paraId="782E816D" w14:textId="77777777" w:rsidR="00513ED2" w:rsidRDefault="00513ED2" w:rsidP="0064149E"/>
    <w:sectPr w:rsidR="00513ED2" w:rsidSect="001C6324">
      <w:headerReference w:type="default" r:id="rId10"/>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F655DB" w:rsidRDefault="00F655DB" w:rsidP="004024CE">
      <w:r>
        <w:separator/>
      </w:r>
    </w:p>
    <w:p w14:paraId="2684ADC9" w14:textId="77777777" w:rsidR="00F655DB" w:rsidRDefault="00F655DB"/>
  </w:endnote>
  <w:endnote w:type="continuationSeparator" w:id="0">
    <w:p w14:paraId="5902E99D" w14:textId="77777777" w:rsidR="00F655DB" w:rsidRDefault="00F655DB" w:rsidP="004024CE">
      <w:r>
        <w:continuationSeparator/>
      </w:r>
    </w:p>
    <w:p w14:paraId="7009E93E" w14:textId="77777777" w:rsidR="00F655DB" w:rsidRDefault="00F65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88C23" w14:textId="17155B63" w:rsidR="00F655DB" w:rsidRDefault="00F655DB">
      <w:r>
        <w:separator/>
      </w:r>
    </w:p>
  </w:footnote>
  <w:footnote w:type="continuationSeparator" w:id="0">
    <w:p w14:paraId="2F6A77D2" w14:textId="77777777" w:rsidR="00F655DB" w:rsidRDefault="00F655DB" w:rsidP="004024CE">
      <w:r>
        <w:continuationSeparator/>
      </w:r>
    </w:p>
    <w:p w14:paraId="589F46A1" w14:textId="77777777" w:rsidR="00F655DB" w:rsidRDefault="00F655DB"/>
  </w:footnote>
  <w:footnote w:id="1">
    <w:p w14:paraId="72933A42" w14:textId="77777777" w:rsidR="00F655DB" w:rsidRPr="00850FF3" w:rsidRDefault="00F655DB" w:rsidP="006835FB">
      <w:pPr>
        <w:pStyle w:val="FootnoteText"/>
        <w:rPr>
          <w:sz w:val="16"/>
          <w:szCs w:val="16"/>
        </w:rPr>
      </w:pPr>
      <w:r w:rsidRPr="00850FF3">
        <w:rPr>
          <w:rStyle w:val="FootnoteReference"/>
        </w:rPr>
        <w:footnoteRef/>
      </w:r>
      <w:r w:rsidRPr="00B23C25">
        <w:rPr>
          <w:rStyle w:val="FootnoteReference"/>
        </w:rPr>
        <w:t xml:space="preserve"> A case plan can have multiple referrals e.g. a client may be referred to both the Wellbeing Centre and MPower under the same case plan.</w:t>
      </w:r>
    </w:p>
  </w:footnote>
  <w:footnote w:id="2">
    <w:p w14:paraId="558FCA62" w14:textId="43188BBA" w:rsidR="00F655DB" w:rsidRPr="006646A2" w:rsidRDefault="00F655DB" w:rsidP="004024CE">
      <w:pPr>
        <w:pStyle w:val="FootnoteText"/>
        <w:rPr>
          <w:vertAlign w:val="superscript"/>
        </w:rPr>
      </w:pPr>
      <w:r w:rsidRPr="0089783E">
        <w:rPr>
          <w:rStyle w:val="FootnoteReference"/>
        </w:rPr>
        <w:footnoteRef/>
      </w:r>
      <w:r w:rsidRPr="0089783E">
        <w:rPr>
          <w:rStyle w:val="FootnoteReference"/>
        </w:rPr>
        <w:t xml:space="preserve"> </w:t>
      </w:r>
      <w:bookmarkStart w:id="2" w:name="_Hlk44601267"/>
      <w:r w:rsidRPr="0089783E">
        <w:rPr>
          <w:rStyle w:val="FootnoteReference"/>
        </w:rPr>
        <w:t>During conference</w:t>
      </w:r>
      <w:r>
        <w:rPr>
          <w:rStyle w:val="FootnoteReference"/>
        </w:rPr>
        <w:t xml:space="preserve"> the 23 a</w:t>
      </w:r>
      <w:r w:rsidRPr="0047183A">
        <w:rPr>
          <w:rStyle w:val="FootnoteReference"/>
        </w:rPr>
        <w:t>greements</w:t>
      </w:r>
      <w:r w:rsidRPr="00FB7732">
        <w:rPr>
          <w:rStyle w:val="FootnoteReference"/>
        </w:rPr>
        <w:t xml:space="preserve"> and</w:t>
      </w:r>
      <w:r w:rsidRPr="00F703CC">
        <w:rPr>
          <w:rStyle w:val="FootnoteReference"/>
        </w:rPr>
        <w:t xml:space="preserve"> </w:t>
      </w:r>
      <w:r>
        <w:rPr>
          <w:rStyle w:val="FootnoteReference"/>
        </w:rPr>
        <w:t>302 orders to attend community support services and the 219 CIM orders relate to 339 unique clients.</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34160" w14:textId="77777777" w:rsidR="001C6324" w:rsidRDefault="001C6324" w:rsidP="001C6324">
    <w:pPr>
      <w:pStyle w:val="Header"/>
    </w:pPr>
  </w:p>
  <w:p w14:paraId="339FE614" w14:textId="77777777" w:rsidR="001C6324" w:rsidRDefault="001C6324" w:rsidP="001C6324">
    <w:pPr>
      <w:pStyle w:val="Header"/>
    </w:pPr>
  </w:p>
  <w:p w14:paraId="184A5DD1" w14:textId="77777777" w:rsidR="001C6324" w:rsidRDefault="001C6324" w:rsidP="001C6324">
    <w:pPr>
      <w:pStyle w:val="Header"/>
    </w:pPr>
  </w:p>
  <w:p w14:paraId="77FDD884" w14:textId="77777777" w:rsidR="001C6324" w:rsidRDefault="001C6324" w:rsidP="001C6324">
    <w:pPr>
      <w:pStyle w:val="Header"/>
    </w:pPr>
  </w:p>
  <w:p w14:paraId="606825A1" w14:textId="77777777" w:rsidR="001C6324" w:rsidRDefault="001C6324" w:rsidP="001C6324">
    <w:pPr>
      <w:pStyle w:val="Header"/>
    </w:pPr>
  </w:p>
  <w:p w14:paraId="16787E10" w14:textId="77777777" w:rsidR="001C6324" w:rsidRPr="00676AE3" w:rsidRDefault="001C6324" w:rsidP="001C6324">
    <w:pPr>
      <w:pStyle w:val="Header"/>
    </w:pPr>
    <w:r w:rsidRPr="00676AE3">
      <w:t xml:space="preserve">FRC </w:t>
    </w:r>
    <w:r>
      <w:t>r</w:t>
    </w:r>
    <w:r w:rsidRPr="00676AE3">
      <w:t>egistry</w:t>
    </w:r>
  </w:p>
  <w:p w14:paraId="04F52B28" w14:textId="77777777" w:rsidR="00F655DB" w:rsidRPr="00CE21A3" w:rsidRDefault="00F655DB" w:rsidP="00553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29079C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5F42060"/>
    <w:multiLevelType w:val="hybridMultilevel"/>
    <w:tmpl w:val="916A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D541E"/>
    <w:multiLevelType w:val="hybridMultilevel"/>
    <w:tmpl w:val="A15C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B805CB3"/>
    <w:multiLevelType w:val="multilevel"/>
    <w:tmpl w:val="0414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5253B"/>
    <w:multiLevelType w:val="hybridMultilevel"/>
    <w:tmpl w:val="A222978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66088"/>
    <w:multiLevelType w:val="hybridMultilevel"/>
    <w:tmpl w:val="1CDC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67499"/>
    <w:multiLevelType w:val="hybridMultilevel"/>
    <w:tmpl w:val="1F22C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820991"/>
    <w:multiLevelType w:val="hybridMultilevel"/>
    <w:tmpl w:val="4C6C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9" w15:restartNumberingAfterBreak="0">
    <w:nsid w:val="282C5916"/>
    <w:multiLevelType w:val="hybridMultilevel"/>
    <w:tmpl w:val="F02EB0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21FA0"/>
    <w:multiLevelType w:val="hybridMultilevel"/>
    <w:tmpl w:val="D9D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6A45207"/>
    <w:multiLevelType w:val="hybridMultilevel"/>
    <w:tmpl w:val="0FFCABE0"/>
    <w:lvl w:ilvl="0" w:tplc="F19203D6">
      <w:start w:val="1"/>
      <w:numFmt w:val="bullet"/>
      <w:lvlText w:val=""/>
      <w:lvlJc w:val="left"/>
      <w:pPr>
        <w:tabs>
          <w:tab w:val="num" w:pos="360"/>
        </w:tabs>
        <w:ind w:left="360" w:hanging="360"/>
      </w:pPr>
      <w:rPr>
        <w:rFonts w:ascii="Symbol" w:hAnsi="Symbol" w:hint="default"/>
        <w:sz w:val="16"/>
        <w:szCs w:val="16"/>
      </w:rPr>
    </w:lvl>
    <w:lvl w:ilvl="1" w:tplc="0C090001">
      <w:start w:val="1"/>
      <w:numFmt w:val="bullet"/>
      <w:lvlText w:val=""/>
      <w:lvlJc w:val="left"/>
      <w:pPr>
        <w:tabs>
          <w:tab w:val="num" w:pos="1440"/>
        </w:tabs>
        <w:ind w:left="1440" w:hanging="360"/>
      </w:pPr>
      <w:rPr>
        <w:rFonts w:ascii="Symbol" w:hAnsi="Symbol" w:hint="default"/>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71ECD"/>
    <w:multiLevelType w:val="hybridMultilevel"/>
    <w:tmpl w:val="BE30DD4A"/>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7" w15:restartNumberingAfterBreak="0">
    <w:nsid w:val="5018606F"/>
    <w:multiLevelType w:val="hybridMultilevel"/>
    <w:tmpl w:val="95F210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637A5"/>
    <w:multiLevelType w:val="hybridMultilevel"/>
    <w:tmpl w:val="E3F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881C7F"/>
    <w:multiLevelType w:val="hybridMultilevel"/>
    <w:tmpl w:val="C6B49B0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563D6"/>
    <w:multiLevelType w:val="hybridMultilevel"/>
    <w:tmpl w:val="95C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B4ED0"/>
    <w:multiLevelType w:val="hybridMultilevel"/>
    <w:tmpl w:val="7174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20548E"/>
    <w:multiLevelType w:val="hybridMultilevel"/>
    <w:tmpl w:val="06D8F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655A6"/>
    <w:multiLevelType w:val="hybridMultilevel"/>
    <w:tmpl w:val="FEF8FB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D43232"/>
    <w:multiLevelType w:val="hybridMultilevel"/>
    <w:tmpl w:val="DD409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8"/>
  </w:num>
  <w:num w:numId="5">
    <w:abstractNumId w:val="25"/>
  </w:num>
  <w:num w:numId="6">
    <w:abstractNumId w:val="1"/>
  </w:num>
  <w:num w:numId="7">
    <w:abstractNumId w:val="0"/>
  </w:num>
  <w:num w:numId="8">
    <w:abstractNumId w:val="32"/>
  </w:num>
  <w:num w:numId="9">
    <w:abstractNumId w:val="26"/>
  </w:num>
  <w:num w:numId="10">
    <w:abstractNumId w:val="35"/>
  </w:num>
  <w:num w:numId="11">
    <w:abstractNumId w:val="4"/>
  </w:num>
  <w:num w:numId="12">
    <w:abstractNumId w:val="9"/>
  </w:num>
  <w:num w:numId="13">
    <w:abstractNumId w:val="23"/>
  </w:num>
  <w:num w:numId="14">
    <w:abstractNumId w:val="29"/>
  </w:num>
  <w:num w:numId="15">
    <w:abstractNumId w:val="12"/>
  </w:num>
  <w:num w:numId="16">
    <w:abstractNumId w:val="31"/>
  </w:num>
  <w:num w:numId="17">
    <w:abstractNumId w:val="43"/>
  </w:num>
  <w:num w:numId="18">
    <w:abstractNumId w:val="17"/>
  </w:num>
  <w:num w:numId="19">
    <w:abstractNumId w:val="15"/>
  </w:num>
  <w:num w:numId="20">
    <w:abstractNumId w:val="11"/>
  </w:num>
  <w:num w:numId="21">
    <w:abstractNumId w:val="21"/>
  </w:num>
  <w:num w:numId="22">
    <w:abstractNumId w:val="33"/>
  </w:num>
  <w:num w:numId="23">
    <w:abstractNumId w:val="28"/>
  </w:num>
  <w:num w:numId="24">
    <w:abstractNumId w:val="20"/>
  </w:num>
  <w:num w:numId="25">
    <w:abstractNumId w:val="8"/>
  </w:num>
  <w:num w:numId="26">
    <w:abstractNumId w:val="30"/>
  </w:num>
  <w:num w:numId="27">
    <w:abstractNumId w:val="24"/>
  </w:num>
  <w:num w:numId="28">
    <w:abstractNumId w:val="36"/>
  </w:num>
  <w:num w:numId="29">
    <w:abstractNumId w:val="34"/>
  </w:num>
  <w:num w:numId="30">
    <w:abstractNumId w:val="10"/>
  </w:num>
  <w:num w:numId="31">
    <w:abstractNumId w:val="42"/>
  </w:num>
  <w:num w:numId="32">
    <w:abstractNumId w:val="37"/>
  </w:num>
  <w:num w:numId="33">
    <w:abstractNumId w:val="16"/>
  </w:num>
  <w:num w:numId="34">
    <w:abstractNumId w:val="5"/>
  </w:num>
  <w:num w:numId="35">
    <w:abstractNumId w:val="40"/>
  </w:num>
  <w:num w:numId="36">
    <w:abstractNumId w:val="38"/>
  </w:num>
  <w:num w:numId="37">
    <w:abstractNumId w:val="14"/>
  </w:num>
  <w:num w:numId="38">
    <w:abstractNumId w:val="22"/>
  </w:num>
  <w:num w:numId="39">
    <w:abstractNumId w:val="19"/>
  </w:num>
  <w:num w:numId="40">
    <w:abstractNumId w:val="39"/>
  </w:num>
  <w:num w:numId="41">
    <w:abstractNumId w:val="7"/>
  </w:num>
  <w:num w:numId="42">
    <w:abstractNumId w:val="6"/>
  </w:num>
  <w:num w:numId="43">
    <w:abstractNumId w:val="2"/>
  </w:num>
  <w:num w:numId="44">
    <w:abstractNumId w:val="2"/>
  </w:num>
  <w:num w:numId="45">
    <w:abstractNumId w:val="27"/>
  </w:num>
  <w:num w:numId="46">
    <w:abstractNumId w:val="2"/>
  </w:num>
  <w:num w:numId="47">
    <w:abstractNumId w:val="41"/>
  </w:num>
  <w:num w:numId="48">
    <w:abstractNumId w:val="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66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D79"/>
    <w:rsid w:val="00001782"/>
    <w:rsid w:val="00001893"/>
    <w:rsid w:val="00001EC5"/>
    <w:rsid w:val="0000285C"/>
    <w:rsid w:val="000037B2"/>
    <w:rsid w:val="000044AF"/>
    <w:rsid w:val="00004A64"/>
    <w:rsid w:val="00004F4A"/>
    <w:rsid w:val="0000589F"/>
    <w:rsid w:val="0000745C"/>
    <w:rsid w:val="000108FA"/>
    <w:rsid w:val="000110A1"/>
    <w:rsid w:val="00011797"/>
    <w:rsid w:val="00011EAD"/>
    <w:rsid w:val="00017901"/>
    <w:rsid w:val="00021121"/>
    <w:rsid w:val="00021998"/>
    <w:rsid w:val="00022AE2"/>
    <w:rsid w:val="00022F7A"/>
    <w:rsid w:val="00023834"/>
    <w:rsid w:val="000242CE"/>
    <w:rsid w:val="00024574"/>
    <w:rsid w:val="000259B3"/>
    <w:rsid w:val="0002602A"/>
    <w:rsid w:val="00026F4C"/>
    <w:rsid w:val="00027E78"/>
    <w:rsid w:val="00031A5E"/>
    <w:rsid w:val="000322F4"/>
    <w:rsid w:val="000325C6"/>
    <w:rsid w:val="0003481B"/>
    <w:rsid w:val="000353D9"/>
    <w:rsid w:val="00035E3E"/>
    <w:rsid w:val="00035FC7"/>
    <w:rsid w:val="00041605"/>
    <w:rsid w:val="00041BFC"/>
    <w:rsid w:val="000430A1"/>
    <w:rsid w:val="00044924"/>
    <w:rsid w:val="000460FB"/>
    <w:rsid w:val="00047560"/>
    <w:rsid w:val="000515A2"/>
    <w:rsid w:val="000564E5"/>
    <w:rsid w:val="00061BEF"/>
    <w:rsid w:val="00063B79"/>
    <w:rsid w:val="00064251"/>
    <w:rsid w:val="00064A8E"/>
    <w:rsid w:val="00065ADC"/>
    <w:rsid w:val="00065FF4"/>
    <w:rsid w:val="00066074"/>
    <w:rsid w:val="0006609B"/>
    <w:rsid w:val="000663E5"/>
    <w:rsid w:val="0006657C"/>
    <w:rsid w:val="00066DE4"/>
    <w:rsid w:val="000718B6"/>
    <w:rsid w:val="00072964"/>
    <w:rsid w:val="00072D84"/>
    <w:rsid w:val="00072DC2"/>
    <w:rsid w:val="00072F08"/>
    <w:rsid w:val="00073564"/>
    <w:rsid w:val="00074DAE"/>
    <w:rsid w:val="000762D4"/>
    <w:rsid w:val="0007689C"/>
    <w:rsid w:val="00077640"/>
    <w:rsid w:val="00077B74"/>
    <w:rsid w:val="00077D47"/>
    <w:rsid w:val="00080033"/>
    <w:rsid w:val="000807AA"/>
    <w:rsid w:val="00080A8D"/>
    <w:rsid w:val="0008159C"/>
    <w:rsid w:val="00081DC1"/>
    <w:rsid w:val="00081EEE"/>
    <w:rsid w:val="000857C9"/>
    <w:rsid w:val="00086100"/>
    <w:rsid w:val="0008620F"/>
    <w:rsid w:val="0008664C"/>
    <w:rsid w:val="00086E79"/>
    <w:rsid w:val="0009050D"/>
    <w:rsid w:val="00090671"/>
    <w:rsid w:val="000906F8"/>
    <w:rsid w:val="00093A38"/>
    <w:rsid w:val="0009442F"/>
    <w:rsid w:val="000958AE"/>
    <w:rsid w:val="000A24AF"/>
    <w:rsid w:val="000A3C68"/>
    <w:rsid w:val="000A486F"/>
    <w:rsid w:val="000B15B1"/>
    <w:rsid w:val="000B462C"/>
    <w:rsid w:val="000B6715"/>
    <w:rsid w:val="000B74C2"/>
    <w:rsid w:val="000C250A"/>
    <w:rsid w:val="000C26A3"/>
    <w:rsid w:val="000C3367"/>
    <w:rsid w:val="000C5308"/>
    <w:rsid w:val="000C7FA3"/>
    <w:rsid w:val="000D18E7"/>
    <w:rsid w:val="000D1B0D"/>
    <w:rsid w:val="000D2108"/>
    <w:rsid w:val="000D2CB9"/>
    <w:rsid w:val="000D3DFB"/>
    <w:rsid w:val="000D3EF8"/>
    <w:rsid w:val="000D4D9F"/>
    <w:rsid w:val="000D68EB"/>
    <w:rsid w:val="000E304D"/>
    <w:rsid w:val="000E37EE"/>
    <w:rsid w:val="000E426A"/>
    <w:rsid w:val="000E71ED"/>
    <w:rsid w:val="000E7D7C"/>
    <w:rsid w:val="000F1722"/>
    <w:rsid w:val="000F27DA"/>
    <w:rsid w:val="000F29F4"/>
    <w:rsid w:val="000F756B"/>
    <w:rsid w:val="00100924"/>
    <w:rsid w:val="00100A80"/>
    <w:rsid w:val="00100F89"/>
    <w:rsid w:val="001011D2"/>
    <w:rsid w:val="001021E4"/>
    <w:rsid w:val="00102CBA"/>
    <w:rsid w:val="0010393B"/>
    <w:rsid w:val="00103B04"/>
    <w:rsid w:val="001044E6"/>
    <w:rsid w:val="001075D2"/>
    <w:rsid w:val="00110290"/>
    <w:rsid w:val="00110473"/>
    <w:rsid w:val="00110B3A"/>
    <w:rsid w:val="00111143"/>
    <w:rsid w:val="00112E6D"/>
    <w:rsid w:val="0011300B"/>
    <w:rsid w:val="00113FC1"/>
    <w:rsid w:val="001148E9"/>
    <w:rsid w:val="001158F5"/>
    <w:rsid w:val="001161F7"/>
    <w:rsid w:val="001169C2"/>
    <w:rsid w:val="001179CD"/>
    <w:rsid w:val="00120AB8"/>
    <w:rsid w:val="00120AFC"/>
    <w:rsid w:val="0012262A"/>
    <w:rsid w:val="00123074"/>
    <w:rsid w:val="00124328"/>
    <w:rsid w:val="00130407"/>
    <w:rsid w:val="0013048C"/>
    <w:rsid w:val="00130BDD"/>
    <w:rsid w:val="001317BB"/>
    <w:rsid w:val="00131A14"/>
    <w:rsid w:val="00132E53"/>
    <w:rsid w:val="00134ACA"/>
    <w:rsid w:val="001355A5"/>
    <w:rsid w:val="00135D86"/>
    <w:rsid w:val="00135EAC"/>
    <w:rsid w:val="001366AA"/>
    <w:rsid w:val="00140382"/>
    <w:rsid w:val="00140BAC"/>
    <w:rsid w:val="00140D6A"/>
    <w:rsid w:val="001410E3"/>
    <w:rsid w:val="00142ED9"/>
    <w:rsid w:val="00143B4F"/>
    <w:rsid w:val="0014645C"/>
    <w:rsid w:val="00146B2C"/>
    <w:rsid w:val="00150DA5"/>
    <w:rsid w:val="00152512"/>
    <w:rsid w:val="0015460C"/>
    <w:rsid w:val="001569A9"/>
    <w:rsid w:val="00156E0A"/>
    <w:rsid w:val="001618BE"/>
    <w:rsid w:val="0016341B"/>
    <w:rsid w:val="00164CA5"/>
    <w:rsid w:val="00165546"/>
    <w:rsid w:val="00166140"/>
    <w:rsid w:val="00166D33"/>
    <w:rsid w:val="00167C49"/>
    <w:rsid w:val="001707D9"/>
    <w:rsid w:val="00170939"/>
    <w:rsid w:val="00171741"/>
    <w:rsid w:val="00171EA2"/>
    <w:rsid w:val="001755ED"/>
    <w:rsid w:val="001760BC"/>
    <w:rsid w:val="00176460"/>
    <w:rsid w:val="001803B7"/>
    <w:rsid w:val="00180BFA"/>
    <w:rsid w:val="00181AFF"/>
    <w:rsid w:val="001822CE"/>
    <w:rsid w:val="001822FC"/>
    <w:rsid w:val="00182C02"/>
    <w:rsid w:val="001911DA"/>
    <w:rsid w:val="001928E3"/>
    <w:rsid w:val="00193066"/>
    <w:rsid w:val="001937FA"/>
    <w:rsid w:val="00196759"/>
    <w:rsid w:val="001973F5"/>
    <w:rsid w:val="00197911"/>
    <w:rsid w:val="00197A47"/>
    <w:rsid w:val="001A0120"/>
    <w:rsid w:val="001A06B6"/>
    <w:rsid w:val="001A16A1"/>
    <w:rsid w:val="001A36E3"/>
    <w:rsid w:val="001A444A"/>
    <w:rsid w:val="001A4E72"/>
    <w:rsid w:val="001A5D2B"/>
    <w:rsid w:val="001A5DFE"/>
    <w:rsid w:val="001A6EAC"/>
    <w:rsid w:val="001B070B"/>
    <w:rsid w:val="001B07A5"/>
    <w:rsid w:val="001B11BE"/>
    <w:rsid w:val="001B3060"/>
    <w:rsid w:val="001B4393"/>
    <w:rsid w:val="001B6CCE"/>
    <w:rsid w:val="001B7200"/>
    <w:rsid w:val="001B7316"/>
    <w:rsid w:val="001C160C"/>
    <w:rsid w:val="001C1AC7"/>
    <w:rsid w:val="001C1C87"/>
    <w:rsid w:val="001C1E19"/>
    <w:rsid w:val="001C504D"/>
    <w:rsid w:val="001C6324"/>
    <w:rsid w:val="001C64D7"/>
    <w:rsid w:val="001C6E5F"/>
    <w:rsid w:val="001C7CDD"/>
    <w:rsid w:val="001D03FA"/>
    <w:rsid w:val="001D1062"/>
    <w:rsid w:val="001D4CFF"/>
    <w:rsid w:val="001D4E88"/>
    <w:rsid w:val="001D54AF"/>
    <w:rsid w:val="001D5AC1"/>
    <w:rsid w:val="001D5DB9"/>
    <w:rsid w:val="001D5ED4"/>
    <w:rsid w:val="001D6DB9"/>
    <w:rsid w:val="001E13C6"/>
    <w:rsid w:val="001E3006"/>
    <w:rsid w:val="001E3880"/>
    <w:rsid w:val="001E5A2D"/>
    <w:rsid w:val="001F032C"/>
    <w:rsid w:val="001F0A0B"/>
    <w:rsid w:val="001F1B84"/>
    <w:rsid w:val="001F3C88"/>
    <w:rsid w:val="001F49BE"/>
    <w:rsid w:val="001F675F"/>
    <w:rsid w:val="001F6EDE"/>
    <w:rsid w:val="00200F97"/>
    <w:rsid w:val="00201D64"/>
    <w:rsid w:val="00201F48"/>
    <w:rsid w:val="00201FD5"/>
    <w:rsid w:val="002020BF"/>
    <w:rsid w:val="0020211B"/>
    <w:rsid w:val="002022E6"/>
    <w:rsid w:val="0020270B"/>
    <w:rsid w:val="00203FB9"/>
    <w:rsid w:val="002045F9"/>
    <w:rsid w:val="0020486C"/>
    <w:rsid w:val="00205807"/>
    <w:rsid w:val="00205A73"/>
    <w:rsid w:val="002064F8"/>
    <w:rsid w:val="0020675D"/>
    <w:rsid w:val="00207BBE"/>
    <w:rsid w:val="00210054"/>
    <w:rsid w:val="00210E59"/>
    <w:rsid w:val="0021126A"/>
    <w:rsid w:val="002128A4"/>
    <w:rsid w:val="00214FE7"/>
    <w:rsid w:val="00215D36"/>
    <w:rsid w:val="002168A8"/>
    <w:rsid w:val="00225BA8"/>
    <w:rsid w:val="002315F6"/>
    <w:rsid w:val="00232E1C"/>
    <w:rsid w:val="00235A8B"/>
    <w:rsid w:val="00235FBA"/>
    <w:rsid w:val="00236B81"/>
    <w:rsid w:val="00237027"/>
    <w:rsid w:val="002413ED"/>
    <w:rsid w:val="00242687"/>
    <w:rsid w:val="002433BF"/>
    <w:rsid w:val="002435B7"/>
    <w:rsid w:val="002443C5"/>
    <w:rsid w:val="00244872"/>
    <w:rsid w:val="00244953"/>
    <w:rsid w:val="00247529"/>
    <w:rsid w:val="00247FB3"/>
    <w:rsid w:val="00251D90"/>
    <w:rsid w:val="002526C2"/>
    <w:rsid w:val="002527F6"/>
    <w:rsid w:val="0025564D"/>
    <w:rsid w:val="00255D6E"/>
    <w:rsid w:val="00255E05"/>
    <w:rsid w:val="0025601F"/>
    <w:rsid w:val="002563FD"/>
    <w:rsid w:val="00256E8C"/>
    <w:rsid w:val="00257A2A"/>
    <w:rsid w:val="00260BE3"/>
    <w:rsid w:val="00260E46"/>
    <w:rsid w:val="00263043"/>
    <w:rsid w:val="00263954"/>
    <w:rsid w:val="00263ABF"/>
    <w:rsid w:val="002645AD"/>
    <w:rsid w:val="0026539A"/>
    <w:rsid w:val="002655E6"/>
    <w:rsid w:val="00270035"/>
    <w:rsid w:val="00270528"/>
    <w:rsid w:val="0027128C"/>
    <w:rsid w:val="00272C21"/>
    <w:rsid w:val="00274F4A"/>
    <w:rsid w:val="00275ED3"/>
    <w:rsid w:val="0027629D"/>
    <w:rsid w:val="00276B90"/>
    <w:rsid w:val="00283F20"/>
    <w:rsid w:val="002848E3"/>
    <w:rsid w:val="00284C35"/>
    <w:rsid w:val="00284CBB"/>
    <w:rsid w:val="002853A3"/>
    <w:rsid w:val="00286EE1"/>
    <w:rsid w:val="002904F3"/>
    <w:rsid w:val="00291502"/>
    <w:rsid w:val="00291E05"/>
    <w:rsid w:val="00291E57"/>
    <w:rsid w:val="002934BA"/>
    <w:rsid w:val="00293B67"/>
    <w:rsid w:val="002959D5"/>
    <w:rsid w:val="002961A4"/>
    <w:rsid w:val="00296EA0"/>
    <w:rsid w:val="002A1591"/>
    <w:rsid w:val="002A20B4"/>
    <w:rsid w:val="002A2729"/>
    <w:rsid w:val="002A2D35"/>
    <w:rsid w:val="002A3197"/>
    <w:rsid w:val="002A4CBB"/>
    <w:rsid w:val="002A4E49"/>
    <w:rsid w:val="002A553D"/>
    <w:rsid w:val="002A5F28"/>
    <w:rsid w:val="002A649F"/>
    <w:rsid w:val="002A741E"/>
    <w:rsid w:val="002A788A"/>
    <w:rsid w:val="002A7FC2"/>
    <w:rsid w:val="002B04ED"/>
    <w:rsid w:val="002B28AA"/>
    <w:rsid w:val="002B2B87"/>
    <w:rsid w:val="002B4F5E"/>
    <w:rsid w:val="002B5B52"/>
    <w:rsid w:val="002B6473"/>
    <w:rsid w:val="002C013C"/>
    <w:rsid w:val="002C1803"/>
    <w:rsid w:val="002C1AFC"/>
    <w:rsid w:val="002C2BFF"/>
    <w:rsid w:val="002C3CD3"/>
    <w:rsid w:val="002C3E0E"/>
    <w:rsid w:val="002C6B74"/>
    <w:rsid w:val="002C7BEB"/>
    <w:rsid w:val="002D0C16"/>
    <w:rsid w:val="002D1229"/>
    <w:rsid w:val="002D3119"/>
    <w:rsid w:val="002D42B7"/>
    <w:rsid w:val="002D651C"/>
    <w:rsid w:val="002D6CD6"/>
    <w:rsid w:val="002D77C0"/>
    <w:rsid w:val="002D77FD"/>
    <w:rsid w:val="002E0070"/>
    <w:rsid w:val="002E0BF4"/>
    <w:rsid w:val="002E0E25"/>
    <w:rsid w:val="002E2BC1"/>
    <w:rsid w:val="002E3102"/>
    <w:rsid w:val="002E314F"/>
    <w:rsid w:val="002E3ADF"/>
    <w:rsid w:val="002E3AFD"/>
    <w:rsid w:val="002E4055"/>
    <w:rsid w:val="002E52F8"/>
    <w:rsid w:val="002E5718"/>
    <w:rsid w:val="002E590F"/>
    <w:rsid w:val="002E5C3B"/>
    <w:rsid w:val="002E6906"/>
    <w:rsid w:val="002E713B"/>
    <w:rsid w:val="002E7651"/>
    <w:rsid w:val="002E7C53"/>
    <w:rsid w:val="002F2786"/>
    <w:rsid w:val="002F35E9"/>
    <w:rsid w:val="002F4061"/>
    <w:rsid w:val="002F4349"/>
    <w:rsid w:val="002F44B1"/>
    <w:rsid w:val="002F5C67"/>
    <w:rsid w:val="002F6410"/>
    <w:rsid w:val="00300282"/>
    <w:rsid w:val="003002F4"/>
    <w:rsid w:val="00300722"/>
    <w:rsid w:val="00300E8C"/>
    <w:rsid w:val="00301C1B"/>
    <w:rsid w:val="00301FA3"/>
    <w:rsid w:val="00302B0D"/>
    <w:rsid w:val="00302B68"/>
    <w:rsid w:val="003030B5"/>
    <w:rsid w:val="003052B1"/>
    <w:rsid w:val="00306DBE"/>
    <w:rsid w:val="00307095"/>
    <w:rsid w:val="00307587"/>
    <w:rsid w:val="00307963"/>
    <w:rsid w:val="00310E7B"/>
    <w:rsid w:val="00310FAC"/>
    <w:rsid w:val="0031180F"/>
    <w:rsid w:val="003158C7"/>
    <w:rsid w:val="00316B6D"/>
    <w:rsid w:val="00320B8F"/>
    <w:rsid w:val="003211D2"/>
    <w:rsid w:val="00321322"/>
    <w:rsid w:val="00322BAB"/>
    <w:rsid w:val="00324BC2"/>
    <w:rsid w:val="003258B7"/>
    <w:rsid w:val="003259C9"/>
    <w:rsid w:val="00326237"/>
    <w:rsid w:val="00327C84"/>
    <w:rsid w:val="003301B7"/>
    <w:rsid w:val="00330997"/>
    <w:rsid w:val="00332A0B"/>
    <w:rsid w:val="00334649"/>
    <w:rsid w:val="003353A0"/>
    <w:rsid w:val="0033563D"/>
    <w:rsid w:val="003416B5"/>
    <w:rsid w:val="00342867"/>
    <w:rsid w:val="00342BFA"/>
    <w:rsid w:val="00344374"/>
    <w:rsid w:val="00347F8B"/>
    <w:rsid w:val="0035080E"/>
    <w:rsid w:val="00351852"/>
    <w:rsid w:val="00351947"/>
    <w:rsid w:val="00351A87"/>
    <w:rsid w:val="00352BEA"/>
    <w:rsid w:val="00353E93"/>
    <w:rsid w:val="00354BF8"/>
    <w:rsid w:val="00354C61"/>
    <w:rsid w:val="003552C1"/>
    <w:rsid w:val="00355550"/>
    <w:rsid w:val="00355B08"/>
    <w:rsid w:val="003601C9"/>
    <w:rsid w:val="003614C1"/>
    <w:rsid w:val="003620A7"/>
    <w:rsid w:val="00362ECD"/>
    <w:rsid w:val="00364453"/>
    <w:rsid w:val="0036470F"/>
    <w:rsid w:val="00365076"/>
    <w:rsid w:val="003651A0"/>
    <w:rsid w:val="00366B2C"/>
    <w:rsid w:val="003673F0"/>
    <w:rsid w:val="00372018"/>
    <w:rsid w:val="00372E82"/>
    <w:rsid w:val="003731C7"/>
    <w:rsid w:val="00375B89"/>
    <w:rsid w:val="0037777A"/>
    <w:rsid w:val="003779A1"/>
    <w:rsid w:val="00377FB0"/>
    <w:rsid w:val="00377FE3"/>
    <w:rsid w:val="00380329"/>
    <w:rsid w:val="00381EFD"/>
    <w:rsid w:val="0038254C"/>
    <w:rsid w:val="003825B1"/>
    <w:rsid w:val="00382C44"/>
    <w:rsid w:val="00383192"/>
    <w:rsid w:val="00383C68"/>
    <w:rsid w:val="0038547B"/>
    <w:rsid w:val="00386B04"/>
    <w:rsid w:val="00387A3A"/>
    <w:rsid w:val="00387F14"/>
    <w:rsid w:val="003906AB"/>
    <w:rsid w:val="003916F7"/>
    <w:rsid w:val="00392A3A"/>
    <w:rsid w:val="00392DFC"/>
    <w:rsid w:val="00394F7B"/>
    <w:rsid w:val="00395584"/>
    <w:rsid w:val="00395FBC"/>
    <w:rsid w:val="003978A9"/>
    <w:rsid w:val="00397AC5"/>
    <w:rsid w:val="003A0009"/>
    <w:rsid w:val="003A099B"/>
    <w:rsid w:val="003A0C5C"/>
    <w:rsid w:val="003A18A6"/>
    <w:rsid w:val="003A2350"/>
    <w:rsid w:val="003A3135"/>
    <w:rsid w:val="003A3A54"/>
    <w:rsid w:val="003A3FBA"/>
    <w:rsid w:val="003A6CC4"/>
    <w:rsid w:val="003A7D99"/>
    <w:rsid w:val="003B0DB5"/>
    <w:rsid w:val="003B15F6"/>
    <w:rsid w:val="003B2189"/>
    <w:rsid w:val="003B3051"/>
    <w:rsid w:val="003B47A6"/>
    <w:rsid w:val="003B5BAF"/>
    <w:rsid w:val="003B6054"/>
    <w:rsid w:val="003B6ECE"/>
    <w:rsid w:val="003B7132"/>
    <w:rsid w:val="003C0E96"/>
    <w:rsid w:val="003C18AA"/>
    <w:rsid w:val="003C2878"/>
    <w:rsid w:val="003C53B6"/>
    <w:rsid w:val="003D0428"/>
    <w:rsid w:val="003D1426"/>
    <w:rsid w:val="003D22AD"/>
    <w:rsid w:val="003D23F7"/>
    <w:rsid w:val="003D2B32"/>
    <w:rsid w:val="003D4370"/>
    <w:rsid w:val="003D4B2D"/>
    <w:rsid w:val="003D4DFA"/>
    <w:rsid w:val="003E09C0"/>
    <w:rsid w:val="003E1F2B"/>
    <w:rsid w:val="003E22D4"/>
    <w:rsid w:val="003E3071"/>
    <w:rsid w:val="003E41FF"/>
    <w:rsid w:val="003E4D6E"/>
    <w:rsid w:val="003E51EB"/>
    <w:rsid w:val="003E68AA"/>
    <w:rsid w:val="003E68D2"/>
    <w:rsid w:val="003E732C"/>
    <w:rsid w:val="003E7365"/>
    <w:rsid w:val="003E74CE"/>
    <w:rsid w:val="003F0207"/>
    <w:rsid w:val="003F02DA"/>
    <w:rsid w:val="003F1B30"/>
    <w:rsid w:val="003F1B3A"/>
    <w:rsid w:val="003F1DF7"/>
    <w:rsid w:val="003F22B4"/>
    <w:rsid w:val="003F34C7"/>
    <w:rsid w:val="003F42C4"/>
    <w:rsid w:val="003F59DF"/>
    <w:rsid w:val="004006FA"/>
    <w:rsid w:val="00400CDE"/>
    <w:rsid w:val="004021AD"/>
    <w:rsid w:val="004024CE"/>
    <w:rsid w:val="00402CB4"/>
    <w:rsid w:val="0040321F"/>
    <w:rsid w:val="004036DD"/>
    <w:rsid w:val="004057D6"/>
    <w:rsid w:val="00405AAA"/>
    <w:rsid w:val="00406A60"/>
    <w:rsid w:val="004077D5"/>
    <w:rsid w:val="00407A0D"/>
    <w:rsid w:val="00411920"/>
    <w:rsid w:val="00412C49"/>
    <w:rsid w:val="0041300B"/>
    <w:rsid w:val="004138DF"/>
    <w:rsid w:val="00413E34"/>
    <w:rsid w:val="0041415B"/>
    <w:rsid w:val="004148A8"/>
    <w:rsid w:val="004155E8"/>
    <w:rsid w:val="00415C3B"/>
    <w:rsid w:val="00416C1F"/>
    <w:rsid w:val="00416E1A"/>
    <w:rsid w:val="00417E65"/>
    <w:rsid w:val="00420679"/>
    <w:rsid w:val="00423555"/>
    <w:rsid w:val="00423901"/>
    <w:rsid w:val="00424BE5"/>
    <w:rsid w:val="00424DA6"/>
    <w:rsid w:val="004259F3"/>
    <w:rsid w:val="004304D6"/>
    <w:rsid w:val="00431E0A"/>
    <w:rsid w:val="00432825"/>
    <w:rsid w:val="0043379C"/>
    <w:rsid w:val="00435753"/>
    <w:rsid w:val="00436182"/>
    <w:rsid w:val="00437820"/>
    <w:rsid w:val="004404DC"/>
    <w:rsid w:val="004407C0"/>
    <w:rsid w:val="00440E87"/>
    <w:rsid w:val="00441D88"/>
    <w:rsid w:val="004421A9"/>
    <w:rsid w:val="004421FC"/>
    <w:rsid w:val="00442897"/>
    <w:rsid w:val="00443439"/>
    <w:rsid w:val="00443607"/>
    <w:rsid w:val="004443FB"/>
    <w:rsid w:val="00446902"/>
    <w:rsid w:val="004503DE"/>
    <w:rsid w:val="004516BE"/>
    <w:rsid w:val="00451A11"/>
    <w:rsid w:val="00452300"/>
    <w:rsid w:val="00454609"/>
    <w:rsid w:val="00455517"/>
    <w:rsid w:val="004565CF"/>
    <w:rsid w:val="00457272"/>
    <w:rsid w:val="00460C42"/>
    <w:rsid w:val="0046135B"/>
    <w:rsid w:val="00461B59"/>
    <w:rsid w:val="00461E53"/>
    <w:rsid w:val="00462AD5"/>
    <w:rsid w:val="00462F26"/>
    <w:rsid w:val="0046328B"/>
    <w:rsid w:val="004650EA"/>
    <w:rsid w:val="004652A0"/>
    <w:rsid w:val="00465B53"/>
    <w:rsid w:val="00465C44"/>
    <w:rsid w:val="0046626A"/>
    <w:rsid w:val="00466579"/>
    <w:rsid w:val="004713F3"/>
    <w:rsid w:val="0047149E"/>
    <w:rsid w:val="0047183A"/>
    <w:rsid w:val="00473114"/>
    <w:rsid w:val="004732C6"/>
    <w:rsid w:val="00473BDB"/>
    <w:rsid w:val="00474457"/>
    <w:rsid w:val="004758C4"/>
    <w:rsid w:val="00476129"/>
    <w:rsid w:val="004763F3"/>
    <w:rsid w:val="00477010"/>
    <w:rsid w:val="004807C5"/>
    <w:rsid w:val="0048113F"/>
    <w:rsid w:val="00484AE7"/>
    <w:rsid w:val="00486C57"/>
    <w:rsid w:val="00487E8C"/>
    <w:rsid w:val="00491BDD"/>
    <w:rsid w:val="0049218D"/>
    <w:rsid w:val="0049253C"/>
    <w:rsid w:val="00494DB4"/>
    <w:rsid w:val="00494E3A"/>
    <w:rsid w:val="004952EB"/>
    <w:rsid w:val="0049642B"/>
    <w:rsid w:val="00497EFC"/>
    <w:rsid w:val="004A537A"/>
    <w:rsid w:val="004A5ACC"/>
    <w:rsid w:val="004A7E7A"/>
    <w:rsid w:val="004A7F1D"/>
    <w:rsid w:val="004B0ABC"/>
    <w:rsid w:val="004B29FB"/>
    <w:rsid w:val="004B2B97"/>
    <w:rsid w:val="004B3FC2"/>
    <w:rsid w:val="004B4753"/>
    <w:rsid w:val="004B4A69"/>
    <w:rsid w:val="004B4BDF"/>
    <w:rsid w:val="004B52BB"/>
    <w:rsid w:val="004B58A7"/>
    <w:rsid w:val="004B591D"/>
    <w:rsid w:val="004B5989"/>
    <w:rsid w:val="004B5B3B"/>
    <w:rsid w:val="004B6C8F"/>
    <w:rsid w:val="004C0B80"/>
    <w:rsid w:val="004C2DF0"/>
    <w:rsid w:val="004C2F14"/>
    <w:rsid w:val="004C37D1"/>
    <w:rsid w:val="004C6C28"/>
    <w:rsid w:val="004C76C1"/>
    <w:rsid w:val="004C7BD5"/>
    <w:rsid w:val="004D0053"/>
    <w:rsid w:val="004D32A3"/>
    <w:rsid w:val="004D5E14"/>
    <w:rsid w:val="004D7643"/>
    <w:rsid w:val="004D7E68"/>
    <w:rsid w:val="004E1454"/>
    <w:rsid w:val="004E16C2"/>
    <w:rsid w:val="004E17D5"/>
    <w:rsid w:val="004E1CCC"/>
    <w:rsid w:val="004E2074"/>
    <w:rsid w:val="004E2AA4"/>
    <w:rsid w:val="004E307F"/>
    <w:rsid w:val="004E3A77"/>
    <w:rsid w:val="004E7182"/>
    <w:rsid w:val="004F0147"/>
    <w:rsid w:val="004F14B7"/>
    <w:rsid w:val="004F2EA4"/>
    <w:rsid w:val="004F4962"/>
    <w:rsid w:val="004F4CC2"/>
    <w:rsid w:val="004F53A3"/>
    <w:rsid w:val="004F553E"/>
    <w:rsid w:val="004F5748"/>
    <w:rsid w:val="004F6187"/>
    <w:rsid w:val="004F7D84"/>
    <w:rsid w:val="004F7FEC"/>
    <w:rsid w:val="00500545"/>
    <w:rsid w:val="005009DC"/>
    <w:rsid w:val="00503467"/>
    <w:rsid w:val="00503D12"/>
    <w:rsid w:val="0050413E"/>
    <w:rsid w:val="00504D03"/>
    <w:rsid w:val="00505504"/>
    <w:rsid w:val="0050667A"/>
    <w:rsid w:val="00510530"/>
    <w:rsid w:val="0051129D"/>
    <w:rsid w:val="00511A02"/>
    <w:rsid w:val="00511C96"/>
    <w:rsid w:val="005133C8"/>
    <w:rsid w:val="00513C99"/>
    <w:rsid w:val="00513ED2"/>
    <w:rsid w:val="0051400F"/>
    <w:rsid w:val="00514739"/>
    <w:rsid w:val="00514D25"/>
    <w:rsid w:val="0051512D"/>
    <w:rsid w:val="00515413"/>
    <w:rsid w:val="00515A05"/>
    <w:rsid w:val="00516FE3"/>
    <w:rsid w:val="00517B99"/>
    <w:rsid w:val="005209FD"/>
    <w:rsid w:val="005215DA"/>
    <w:rsid w:val="005216D0"/>
    <w:rsid w:val="00523939"/>
    <w:rsid w:val="00524014"/>
    <w:rsid w:val="005241B9"/>
    <w:rsid w:val="005241CD"/>
    <w:rsid w:val="00524337"/>
    <w:rsid w:val="00524B83"/>
    <w:rsid w:val="0052527F"/>
    <w:rsid w:val="00525A2F"/>
    <w:rsid w:val="00526349"/>
    <w:rsid w:val="00527AA6"/>
    <w:rsid w:val="0053085C"/>
    <w:rsid w:val="005323A4"/>
    <w:rsid w:val="00532A1E"/>
    <w:rsid w:val="00532D21"/>
    <w:rsid w:val="00536058"/>
    <w:rsid w:val="00536C63"/>
    <w:rsid w:val="00537E8D"/>
    <w:rsid w:val="0054002D"/>
    <w:rsid w:val="00540C85"/>
    <w:rsid w:val="005474BC"/>
    <w:rsid w:val="00550A83"/>
    <w:rsid w:val="00550CE8"/>
    <w:rsid w:val="005527DE"/>
    <w:rsid w:val="00553655"/>
    <w:rsid w:val="00554C37"/>
    <w:rsid w:val="00555385"/>
    <w:rsid w:val="00556950"/>
    <w:rsid w:val="00556FBA"/>
    <w:rsid w:val="00560CDC"/>
    <w:rsid w:val="00563CB0"/>
    <w:rsid w:val="00565445"/>
    <w:rsid w:val="005661E0"/>
    <w:rsid w:val="0056674A"/>
    <w:rsid w:val="00566A46"/>
    <w:rsid w:val="005672B6"/>
    <w:rsid w:val="00567BDB"/>
    <w:rsid w:val="00570AB5"/>
    <w:rsid w:val="00573B3E"/>
    <w:rsid w:val="00575B3E"/>
    <w:rsid w:val="00577909"/>
    <w:rsid w:val="00577EF7"/>
    <w:rsid w:val="00581AC7"/>
    <w:rsid w:val="00582209"/>
    <w:rsid w:val="00583817"/>
    <w:rsid w:val="0058401A"/>
    <w:rsid w:val="005844E2"/>
    <w:rsid w:val="00585E05"/>
    <w:rsid w:val="005863E6"/>
    <w:rsid w:val="00586F93"/>
    <w:rsid w:val="00590148"/>
    <w:rsid w:val="0059030C"/>
    <w:rsid w:val="00591F0E"/>
    <w:rsid w:val="00592F96"/>
    <w:rsid w:val="005937DB"/>
    <w:rsid w:val="00596D63"/>
    <w:rsid w:val="00597989"/>
    <w:rsid w:val="00597ABF"/>
    <w:rsid w:val="005A0BCC"/>
    <w:rsid w:val="005A12A6"/>
    <w:rsid w:val="005A2D61"/>
    <w:rsid w:val="005A4CE7"/>
    <w:rsid w:val="005A517E"/>
    <w:rsid w:val="005A67E8"/>
    <w:rsid w:val="005A72A6"/>
    <w:rsid w:val="005A7558"/>
    <w:rsid w:val="005B165F"/>
    <w:rsid w:val="005B2FE5"/>
    <w:rsid w:val="005B372A"/>
    <w:rsid w:val="005B4143"/>
    <w:rsid w:val="005B5260"/>
    <w:rsid w:val="005B5DF6"/>
    <w:rsid w:val="005B6AB9"/>
    <w:rsid w:val="005C05AB"/>
    <w:rsid w:val="005C0FB3"/>
    <w:rsid w:val="005C1144"/>
    <w:rsid w:val="005C2A07"/>
    <w:rsid w:val="005C34B7"/>
    <w:rsid w:val="005C36AD"/>
    <w:rsid w:val="005C45F6"/>
    <w:rsid w:val="005C52C7"/>
    <w:rsid w:val="005C6BF6"/>
    <w:rsid w:val="005C7009"/>
    <w:rsid w:val="005C7D76"/>
    <w:rsid w:val="005C7E59"/>
    <w:rsid w:val="005D2768"/>
    <w:rsid w:val="005D2982"/>
    <w:rsid w:val="005D32E4"/>
    <w:rsid w:val="005D49EB"/>
    <w:rsid w:val="005D59C9"/>
    <w:rsid w:val="005D6700"/>
    <w:rsid w:val="005E0A7E"/>
    <w:rsid w:val="005E1062"/>
    <w:rsid w:val="005E2120"/>
    <w:rsid w:val="005E297A"/>
    <w:rsid w:val="005E33C4"/>
    <w:rsid w:val="005E3406"/>
    <w:rsid w:val="005E352C"/>
    <w:rsid w:val="005E374B"/>
    <w:rsid w:val="005E4497"/>
    <w:rsid w:val="005E5996"/>
    <w:rsid w:val="005E5D33"/>
    <w:rsid w:val="005E64D5"/>
    <w:rsid w:val="005E692A"/>
    <w:rsid w:val="005E6EDD"/>
    <w:rsid w:val="005E72F4"/>
    <w:rsid w:val="005E77FF"/>
    <w:rsid w:val="005E7E0B"/>
    <w:rsid w:val="005E7FA2"/>
    <w:rsid w:val="005F0CCB"/>
    <w:rsid w:val="005F1375"/>
    <w:rsid w:val="005F280C"/>
    <w:rsid w:val="005F3C9F"/>
    <w:rsid w:val="005F439B"/>
    <w:rsid w:val="005F459C"/>
    <w:rsid w:val="005F4E90"/>
    <w:rsid w:val="005F6B0B"/>
    <w:rsid w:val="005F6B9D"/>
    <w:rsid w:val="005F6F11"/>
    <w:rsid w:val="00602C7F"/>
    <w:rsid w:val="0060361C"/>
    <w:rsid w:val="00604BCC"/>
    <w:rsid w:val="00604BF5"/>
    <w:rsid w:val="00606E24"/>
    <w:rsid w:val="00607EEC"/>
    <w:rsid w:val="00610BEF"/>
    <w:rsid w:val="006127BF"/>
    <w:rsid w:val="00613F4E"/>
    <w:rsid w:val="00615CFD"/>
    <w:rsid w:val="0061691D"/>
    <w:rsid w:val="00617203"/>
    <w:rsid w:val="00621724"/>
    <w:rsid w:val="006218B0"/>
    <w:rsid w:val="006225E9"/>
    <w:rsid w:val="00623AA3"/>
    <w:rsid w:val="00625333"/>
    <w:rsid w:val="00625C7D"/>
    <w:rsid w:val="0062722F"/>
    <w:rsid w:val="006279D0"/>
    <w:rsid w:val="00627ADE"/>
    <w:rsid w:val="00627BCF"/>
    <w:rsid w:val="00631372"/>
    <w:rsid w:val="00631612"/>
    <w:rsid w:val="0063219A"/>
    <w:rsid w:val="0063220D"/>
    <w:rsid w:val="0063246E"/>
    <w:rsid w:val="00632942"/>
    <w:rsid w:val="00633474"/>
    <w:rsid w:val="00633677"/>
    <w:rsid w:val="0063507A"/>
    <w:rsid w:val="00635437"/>
    <w:rsid w:val="006364DD"/>
    <w:rsid w:val="00636822"/>
    <w:rsid w:val="00636B04"/>
    <w:rsid w:val="00636BEC"/>
    <w:rsid w:val="00636DDA"/>
    <w:rsid w:val="00636F42"/>
    <w:rsid w:val="006377D5"/>
    <w:rsid w:val="00640999"/>
    <w:rsid w:val="00640B8F"/>
    <w:rsid w:val="0064149E"/>
    <w:rsid w:val="00641609"/>
    <w:rsid w:val="0064339D"/>
    <w:rsid w:val="00643BD1"/>
    <w:rsid w:val="0064416B"/>
    <w:rsid w:val="0064473F"/>
    <w:rsid w:val="00644C99"/>
    <w:rsid w:val="00645409"/>
    <w:rsid w:val="0064627C"/>
    <w:rsid w:val="006470BD"/>
    <w:rsid w:val="00650F49"/>
    <w:rsid w:val="00650F4D"/>
    <w:rsid w:val="00651BFE"/>
    <w:rsid w:val="00651C71"/>
    <w:rsid w:val="00651CF7"/>
    <w:rsid w:val="006522EE"/>
    <w:rsid w:val="006534DA"/>
    <w:rsid w:val="006566CB"/>
    <w:rsid w:val="0065685A"/>
    <w:rsid w:val="0066001C"/>
    <w:rsid w:val="006603F0"/>
    <w:rsid w:val="00661250"/>
    <w:rsid w:val="00661AB2"/>
    <w:rsid w:val="0066209C"/>
    <w:rsid w:val="006637BF"/>
    <w:rsid w:val="00663853"/>
    <w:rsid w:val="006646A2"/>
    <w:rsid w:val="0066478C"/>
    <w:rsid w:val="00665E52"/>
    <w:rsid w:val="00666764"/>
    <w:rsid w:val="00666A3C"/>
    <w:rsid w:val="00667F7D"/>
    <w:rsid w:val="00670D08"/>
    <w:rsid w:val="0067256C"/>
    <w:rsid w:val="00672FFF"/>
    <w:rsid w:val="00673A2C"/>
    <w:rsid w:val="0067432C"/>
    <w:rsid w:val="006747E7"/>
    <w:rsid w:val="00674A92"/>
    <w:rsid w:val="0067559C"/>
    <w:rsid w:val="00675EF0"/>
    <w:rsid w:val="00675FA3"/>
    <w:rsid w:val="00676AE3"/>
    <w:rsid w:val="00676F6E"/>
    <w:rsid w:val="00677785"/>
    <w:rsid w:val="00677EFE"/>
    <w:rsid w:val="00680EF2"/>
    <w:rsid w:val="006818D2"/>
    <w:rsid w:val="00682805"/>
    <w:rsid w:val="006835FB"/>
    <w:rsid w:val="0068398D"/>
    <w:rsid w:val="00683DAA"/>
    <w:rsid w:val="0068546A"/>
    <w:rsid w:val="00685700"/>
    <w:rsid w:val="006873D5"/>
    <w:rsid w:val="00691620"/>
    <w:rsid w:val="006919D7"/>
    <w:rsid w:val="006925E3"/>
    <w:rsid w:val="00693314"/>
    <w:rsid w:val="00697858"/>
    <w:rsid w:val="00697D25"/>
    <w:rsid w:val="006A27E5"/>
    <w:rsid w:val="006A331C"/>
    <w:rsid w:val="006A3A9A"/>
    <w:rsid w:val="006A5891"/>
    <w:rsid w:val="006A598F"/>
    <w:rsid w:val="006A6677"/>
    <w:rsid w:val="006A71A4"/>
    <w:rsid w:val="006B0065"/>
    <w:rsid w:val="006B030F"/>
    <w:rsid w:val="006B11CF"/>
    <w:rsid w:val="006B1302"/>
    <w:rsid w:val="006B1329"/>
    <w:rsid w:val="006B1384"/>
    <w:rsid w:val="006B1FFA"/>
    <w:rsid w:val="006B25C1"/>
    <w:rsid w:val="006B429B"/>
    <w:rsid w:val="006B4416"/>
    <w:rsid w:val="006B4D6F"/>
    <w:rsid w:val="006B68DA"/>
    <w:rsid w:val="006B68DE"/>
    <w:rsid w:val="006C022B"/>
    <w:rsid w:val="006C078D"/>
    <w:rsid w:val="006C1F8D"/>
    <w:rsid w:val="006C2AC7"/>
    <w:rsid w:val="006C306D"/>
    <w:rsid w:val="006C3574"/>
    <w:rsid w:val="006C4102"/>
    <w:rsid w:val="006C5B3E"/>
    <w:rsid w:val="006C5DC9"/>
    <w:rsid w:val="006C6FC4"/>
    <w:rsid w:val="006C7506"/>
    <w:rsid w:val="006D0B23"/>
    <w:rsid w:val="006D1A7C"/>
    <w:rsid w:val="006D1A98"/>
    <w:rsid w:val="006D1AD1"/>
    <w:rsid w:val="006D26CC"/>
    <w:rsid w:val="006D2AFB"/>
    <w:rsid w:val="006D4E2B"/>
    <w:rsid w:val="006D51BC"/>
    <w:rsid w:val="006D57B4"/>
    <w:rsid w:val="006D736D"/>
    <w:rsid w:val="006D7879"/>
    <w:rsid w:val="006E09FC"/>
    <w:rsid w:val="006E0E3C"/>
    <w:rsid w:val="006E13E8"/>
    <w:rsid w:val="006E3328"/>
    <w:rsid w:val="006E4209"/>
    <w:rsid w:val="006E46A1"/>
    <w:rsid w:val="006E5394"/>
    <w:rsid w:val="006E7FFC"/>
    <w:rsid w:val="006F0825"/>
    <w:rsid w:val="006F0EA3"/>
    <w:rsid w:val="006F21AD"/>
    <w:rsid w:val="006F2CE2"/>
    <w:rsid w:val="006F34A3"/>
    <w:rsid w:val="006F42D1"/>
    <w:rsid w:val="006F7872"/>
    <w:rsid w:val="007005F2"/>
    <w:rsid w:val="007018E7"/>
    <w:rsid w:val="00703064"/>
    <w:rsid w:val="00703AF9"/>
    <w:rsid w:val="00704B00"/>
    <w:rsid w:val="00706445"/>
    <w:rsid w:val="00706C65"/>
    <w:rsid w:val="0070711E"/>
    <w:rsid w:val="00710633"/>
    <w:rsid w:val="007108C7"/>
    <w:rsid w:val="00710BC3"/>
    <w:rsid w:val="00711316"/>
    <w:rsid w:val="00711EF1"/>
    <w:rsid w:val="00713BB8"/>
    <w:rsid w:val="00714CF9"/>
    <w:rsid w:val="00715448"/>
    <w:rsid w:val="00716F51"/>
    <w:rsid w:val="00717015"/>
    <w:rsid w:val="00723312"/>
    <w:rsid w:val="0072376F"/>
    <w:rsid w:val="00724085"/>
    <w:rsid w:val="00726588"/>
    <w:rsid w:val="00727731"/>
    <w:rsid w:val="007301C9"/>
    <w:rsid w:val="00731580"/>
    <w:rsid w:val="0073223E"/>
    <w:rsid w:val="00732626"/>
    <w:rsid w:val="00732641"/>
    <w:rsid w:val="00732EC1"/>
    <w:rsid w:val="00733E4C"/>
    <w:rsid w:val="007352B4"/>
    <w:rsid w:val="00735500"/>
    <w:rsid w:val="007358B3"/>
    <w:rsid w:val="007366FB"/>
    <w:rsid w:val="007377B8"/>
    <w:rsid w:val="00742D28"/>
    <w:rsid w:val="00742FB9"/>
    <w:rsid w:val="00743109"/>
    <w:rsid w:val="00743A6D"/>
    <w:rsid w:val="0074579D"/>
    <w:rsid w:val="00745CE0"/>
    <w:rsid w:val="007469E9"/>
    <w:rsid w:val="00746B71"/>
    <w:rsid w:val="00746BDA"/>
    <w:rsid w:val="00746E24"/>
    <w:rsid w:val="0074704A"/>
    <w:rsid w:val="007470D0"/>
    <w:rsid w:val="00747721"/>
    <w:rsid w:val="007501D7"/>
    <w:rsid w:val="007519D3"/>
    <w:rsid w:val="007521A3"/>
    <w:rsid w:val="007522E0"/>
    <w:rsid w:val="007523BB"/>
    <w:rsid w:val="0075301D"/>
    <w:rsid w:val="007530B3"/>
    <w:rsid w:val="00753464"/>
    <w:rsid w:val="00754EB5"/>
    <w:rsid w:val="00755977"/>
    <w:rsid w:val="00755D10"/>
    <w:rsid w:val="00757C55"/>
    <w:rsid w:val="00757F68"/>
    <w:rsid w:val="00760693"/>
    <w:rsid w:val="00760B5F"/>
    <w:rsid w:val="00761468"/>
    <w:rsid w:val="00761469"/>
    <w:rsid w:val="00761A1D"/>
    <w:rsid w:val="00763810"/>
    <w:rsid w:val="00763983"/>
    <w:rsid w:val="00763D72"/>
    <w:rsid w:val="0076563D"/>
    <w:rsid w:val="00767EDB"/>
    <w:rsid w:val="00770E5E"/>
    <w:rsid w:val="00772A20"/>
    <w:rsid w:val="00773AAF"/>
    <w:rsid w:val="00774060"/>
    <w:rsid w:val="00774570"/>
    <w:rsid w:val="0077515C"/>
    <w:rsid w:val="007758E5"/>
    <w:rsid w:val="00775B47"/>
    <w:rsid w:val="007761E4"/>
    <w:rsid w:val="00780482"/>
    <w:rsid w:val="007826C6"/>
    <w:rsid w:val="007839A8"/>
    <w:rsid w:val="00783A1C"/>
    <w:rsid w:val="00784129"/>
    <w:rsid w:val="00784923"/>
    <w:rsid w:val="007870B5"/>
    <w:rsid w:val="007872A7"/>
    <w:rsid w:val="00787CF0"/>
    <w:rsid w:val="00787D10"/>
    <w:rsid w:val="00787D9B"/>
    <w:rsid w:val="0079040A"/>
    <w:rsid w:val="007904E2"/>
    <w:rsid w:val="007904EB"/>
    <w:rsid w:val="00790B6E"/>
    <w:rsid w:val="00791DF6"/>
    <w:rsid w:val="00792BF3"/>
    <w:rsid w:val="00794BB9"/>
    <w:rsid w:val="0079532D"/>
    <w:rsid w:val="00795E10"/>
    <w:rsid w:val="007968C2"/>
    <w:rsid w:val="0079696B"/>
    <w:rsid w:val="007A08E7"/>
    <w:rsid w:val="007A2031"/>
    <w:rsid w:val="007A241F"/>
    <w:rsid w:val="007A2E57"/>
    <w:rsid w:val="007B1C1D"/>
    <w:rsid w:val="007B1CA7"/>
    <w:rsid w:val="007B37CE"/>
    <w:rsid w:val="007B4873"/>
    <w:rsid w:val="007B777E"/>
    <w:rsid w:val="007C0486"/>
    <w:rsid w:val="007C08F1"/>
    <w:rsid w:val="007C1E2B"/>
    <w:rsid w:val="007C2F8D"/>
    <w:rsid w:val="007C42D1"/>
    <w:rsid w:val="007C49D4"/>
    <w:rsid w:val="007C5C2C"/>
    <w:rsid w:val="007C5C59"/>
    <w:rsid w:val="007C6AED"/>
    <w:rsid w:val="007D0ED0"/>
    <w:rsid w:val="007D0EDD"/>
    <w:rsid w:val="007D23CB"/>
    <w:rsid w:val="007E018C"/>
    <w:rsid w:val="007E3A8D"/>
    <w:rsid w:val="007E46B9"/>
    <w:rsid w:val="007E478F"/>
    <w:rsid w:val="007E552F"/>
    <w:rsid w:val="007E55CA"/>
    <w:rsid w:val="007E7150"/>
    <w:rsid w:val="007F09DE"/>
    <w:rsid w:val="007F1376"/>
    <w:rsid w:val="007F2DBD"/>
    <w:rsid w:val="007F2F2F"/>
    <w:rsid w:val="007F3479"/>
    <w:rsid w:val="007F3841"/>
    <w:rsid w:val="007F6A47"/>
    <w:rsid w:val="007F6EAD"/>
    <w:rsid w:val="00800B6E"/>
    <w:rsid w:val="00800FE6"/>
    <w:rsid w:val="00801F43"/>
    <w:rsid w:val="008021C9"/>
    <w:rsid w:val="00806048"/>
    <w:rsid w:val="00806970"/>
    <w:rsid w:val="00807008"/>
    <w:rsid w:val="008102F5"/>
    <w:rsid w:val="0081133B"/>
    <w:rsid w:val="00811A01"/>
    <w:rsid w:val="00811CF2"/>
    <w:rsid w:val="0081217F"/>
    <w:rsid w:val="008122FA"/>
    <w:rsid w:val="00812456"/>
    <w:rsid w:val="008124BF"/>
    <w:rsid w:val="00813A34"/>
    <w:rsid w:val="00814A1D"/>
    <w:rsid w:val="00815023"/>
    <w:rsid w:val="00816EA6"/>
    <w:rsid w:val="00820C02"/>
    <w:rsid w:val="0082460E"/>
    <w:rsid w:val="00824E82"/>
    <w:rsid w:val="00826466"/>
    <w:rsid w:val="00826943"/>
    <w:rsid w:val="00827AEC"/>
    <w:rsid w:val="00827B67"/>
    <w:rsid w:val="0083017B"/>
    <w:rsid w:val="00830CDF"/>
    <w:rsid w:val="00831B69"/>
    <w:rsid w:val="00832B88"/>
    <w:rsid w:val="00832C6D"/>
    <w:rsid w:val="00833023"/>
    <w:rsid w:val="00833549"/>
    <w:rsid w:val="0083412C"/>
    <w:rsid w:val="00837AB4"/>
    <w:rsid w:val="00840680"/>
    <w:rsid w:val="0084243B"/>
    <w:rsid w:val="00843155"/>
    <w:rsid w:val="00851778"/>
    <w:rsid w:val="008530E4"/>
    <w:rsid w:val="00853558"/>
    <w:rsid w:val="00853D61"/>
    <w:rsid w:val="00855109"/>
    <w:rsid w:val="00855BD2"/>
    <w:rsid w:val="008560E5"/>
    <w:rsid w:val="00857A58"/>
    <w:rsid w:val="00857AFA"/>
    <w:rsid w:val="008609B2"/>
    <w:rsid w:val="008609CB"/>
    <w:rsid w:val="00860CF2"/>
    <w:rsid w:val="00862DC0"/>
    <w:rsid w:val="0086460B"/>
    <w:rsid w:val="008648A6"/>
    <w:rsid w:val="00864FC9"/>
    <w:rsid w:val="00865F07"/>
    <w:rsid w:val="00867D65"/>
    <w:rsid w:val="00867F1A"/>
    <w:rsid w:val="0087018D"/>
    <w:rsid w:val="00870E06"/>
    <w:rsid w:val="0087217F"/>
    <w:rsid w:val="008727EA"/>
    <w:rsid w:val="00873954"/>
    <w:rsid w:val="00875F42"/>
    <w:rsid w:val="00876CD4"/>
    <w:rsid w:val="0087706B"/>
    <w:rsid w:val="00877761"/>
    <w:rsid w:val="008803AD"/>
    <w:rsid w:val="00880815"/>
    <w:rsid w:val="008808E2"/>
    <w:rsid w:val="0088137C"/>
    <w:rsid w:val="008817B2"/>
    <w:rsid w:val="0088185D"/>
    <w:rsid w:val="00881DBE"/>
    <w:rsid w:val="0088382F"/>
    <w:rsid w:val="00885D07"/>
    <w:rsid w:val="0088626A"/>
    <w:rsid w:val="008878B2"/>
    <w:rsid w:val="008900D4"/>
    <w:rsid w:val="00891105"/>
    <w:rsid w:val="008919CE"/>
    <w:rsid w:val="00892086"/>
    <w:rsid w:val="00893766"/>
    <w:rsid w:val="0089396B"/>
    <w:rsid w:val="00895118"/>
    <w:rsid w:val="0089531C"/>
    <w:rsid w:val="00896062"/>
    <w:rsid w:val="008960F4"/>
    <w:rsid w:val="00896347"/>
    <w:rsid w:val="00896D60"/>
    <w:rsid w:val="008A015F"/>
    <w:rsid w:val="008A03AF"/>
    <w:rsid w:val="008A14F4"/>
    <w:rsid w:val="008A27A5"/>
    <w:rsid w:val="008A2ECF"/>
    <w:rsid w:val="008A2FDF"/>
    <w:rsid w:val="008A32D0"/>
    <w:rsid w:val="008A395C"/>
    <w:rsid w:val="008A47FD"/>
    <w:rsid w:val="008A55CB"/>
    <w:rsid w:val="008A6165"/>
    <w:rsid w:val="008A6AF3"/>
    <w:rsid w:val="008A6DCD"/>
    <w:rsid w:val="008A7F79"/>
    <w:rsid w:val="008B04C0"/>
    <w:rsid w:val="008B05C3"/>
    <w:rsid w:val="008B0833"/>
    <w:rsid w:val="008B118A"/>
    <w:rsid w:val="008B26F5"/>
    <w:rsid w:val="008B398F"/>
    <w:rsid w:val="008B63FB"/>
    <w:rsid w:val="008B76F4"/>
    <w:rsid w:val="008C0C90"/>
    <w:rsid w:val="008C18F0"/>
    <w:rsid w:val="008C21FE"/>
    <w:rsid w:val="008C259F"/>
    <w:rsid w:val="008C27F7"/>
    <w:rsid w:val="008C2B78"/>
    <w:rsid w:val="008C3793"/>
    <w:rsid w:val="008C4508"/>
    <w:rsid w:val="008C4658"/>
    <w:rsid w:val="008C4A7C"/>
    <w:rsid w:val="008C4A89"/>
    <w:rsid w:val="008D2038"/>
    <w:rsid w:val="008D227C"/>
    <w:rsid w:val="008D27CD"/>
    <w:rsid w:val="008D6D9E"/>
    <w:rsid w:val="008E112E"/>
    <w:rsid w:val="008E29C6"/>
    <w:rsid w:val="008E2E44"/>
    <w:rsid w:val="008E381D"/>
    <w:rsid w:val="008E4FFF"/>
    <w:rsid w:val="008E5989"/>
    <w:rsid w:val="008E65CA"/>
    <w:rsid w:val="008E6FB8"/>
    <w:rsid w:val="008F1D82"/>
    <w:rsid w:val="008F1E14"/>
    <w:rsid w:val="008F1FA3"/>
    <w:rsid w:val="008F2845"/>
    <w:rsid w:val="008F28FC"/>
    <w:rsid w:val="008F3758"/>
    <w:rsid w:val="008F44C6"/>
    <w:rsid w:val="008F475D"/>
    <w:rsid w:val="008F4A19"/>
    <w:rsid w:val="008F6148"/>
    <w:rsid w:val="008F6611"/>
    <w:rsid w:val="008F6DD7"/>
    <w:rsid w:val="008F770F"/>
    <w:rsid w:val="008F7C6D"/>
    <w:rsid w:val="00900CED"/>
    <w:rsid w:val="00901E4A"/>
    <w:rsid w:val="0090293F"/>
    <w:rsid w:val="00902983"/>
    <w:rsid w:val="0090338B"/>
    <w:rsid w:val="00904493"/>
    <w:rsid w:val="00904BF9"/>
    <w:rsid w:val="00904EDF"/>
    <w:rsid w:val="00904F1E"/>
    <w:rsid w:val="00906C01"/>
    <w:rsid w:val="00906DD0"/>
    <w:rsid w:val="00906F35"/>
    <w:rsid w:val="00910E88"/>
    <w:rsid w:val="00911425"/>
    <w:rsid w:val="009125B9"/>
    <w:rsid w:val="009126C1"/>
    <w:rsid w:val="00912DAF"/>
    <w:rsid w:val="00913BCE"/>
    <w:rsid w:val="00914093"/>
    <w:rsid w:val="00914EF1"/>
    <w:rsid w:val="00915228"/>
    <w:rsid w:val="0091558A"/>
    <w:rsid w:val="00915842"/>
    <w:rsid w:val="00915900"/>
    <w:rsid w:val="00915A5B"/>
    <w:rsid w:val="00915F0A"/>
    <w:rsid w:val="00917484"/>
    <w:rsid w:val="009209AB"/>
    <w:rsid w:val="00921F5C"/>
    <w:rsid w:val="00922BBB"/>
    <w:rsid w:val="0092618C"/>
    <w:rsid w:val="0092687F"/>
    <w:rsid w:val="0093066A"/>
    <w:rsid w:val="00930F01"/>
    <w:rsid w:val="00931F75"/>
    <w:rsid w:val="009333BB"/>
    <w:rsid w:val="00934F1D"/>
    <w:rsid w:val="0093554F"/>
    <w:rsid w:val="00935687"/>
    <w:rsid w:val="00936A99"/>
    <w:rsid w:val="00936CDC"/>
    <w:rsid w:val="00937019"/>
    <w:rsid w:val="009372C9"/>
    <w:rsid w:val="00940A99"/>
    <w:rsid w:val="00941584"/>
    <w:rsid w:val="009417EC"/>
    <w:rsid w:val="009447E1"/>
    <w:rsid w:val="00944A33"/>
    <w:rsid w:val="00944E68"/>
    <w:rsid w:val="009450E9"/>
    <w:rsid w:val="00950F4D"/>
    <w:rsid w:val="009523F5"/>
    <w:rsid w:val="00953659"/>
    <w:rsid w:val="00954EBF"/>
    <w:rsid w:val="0095516D"/>
    <w:rsid w:val="00955427"/>
    <w:rsid w:val="00955C2B"/>
    <w:rsid w:val="00955E47"/>
    <w:rsid w:val="009562FF"/>
    <w:rsid w:val="00956585"/>
    <w:rsid w:val="00957111"/>
    <w:rsid w:val="009572BE"/>
    <w:rsid w:val="00957FD4"/>
    <w:rsid w:val="009624B1"/>
    <w:rsid w:val="00964BFD"/>
    <w:rsid w:val="009667A6"/>
    <w:rsid w:val="00970A2C"/>
    <w:rsid w:val="00971119"/>
    <w:rsid w:val="00971658"/>
    <w:rsid w:val="009716CF"/>
    <w:rsid w:val="009719CA"/>
    <w:rsid w:val="00971F3D"/>
    <w:rsid w:val="009724FB"/>
    <w:rsid w:val="00972A7B"/>
    <w:rsid w:val="00972DB8"/>
    <w:rsid w:val="00974265"/>
    <w:rsid w:val="009746DA"/>
    <w:rsid w:val="00980043"/>
    <w:rsid w:val="009803F3"/>
    <w:rsid w:val="00982E31"/>
    <w:rsid w:val="009844C0"/>
    <w:rsid w:val="00986593"/>
    <w:rsid w:val="00991FEA"/>
    <w:rsid w:val="00993E87"/>
    <w:rsid w:val="0099613B"/>
    <w:rsid w:val="009962FB"/>
    <w:rsid w:val="00996F93"/>
    <w:rsid w:val="00997837"/>
    <w:rsid w:val="009978AB"/>
    <w:rsid w:val="00997E9C"/>
    <w:rsid w:val="009A13C4"/>
    <w:rsid w:val="009A2A87"/>
    <w:rsid w:val="009A2F9C"/>
    <w:rsid w:val="009A3C02"/>
    <w:rsid w:val="009A5140"/>
    <w:rsid w:val="009A5667"/>
    <w:rsid w:val="009A5A46"/>
    <w:rsid w:val="009A699F"/>
    <w:rsid w:val="009B01DA"/>
    <w:rsid w:val="009B129E"/>
    <w:rsid w:val="009B14D3"/>
    <w:rsid w:val="009B1D53"/>
    <w:rsid w:val="009B3406"/>
    <w:rsid w:val="009B478B"/>
    <w:rsid w:val="009B5375"/>
    <w:rsid w:val="009B654E"/>
    <w:rsid w:val="009B6C9F"/>
    <w:rsid w:val="009B790D"/>
    <w:rsid w:val="009C0C2F"/>
    <w:rsid w:val="009C3210"/>
    <w:rsid w:val="009C34A1"/>
    <w:rsid w:val="009C3592"/>
    <w:rsid w:val="009C4B7C"/>
    <w:rsid w:val="009C4FD3"/>
    <w:rsid w:val="009C6EF0"/>
    <w:rsid w:val="009D27BC"/>
    <w:rsid w:val="009D4454"/>
    <w:rsid w:val="009D5998"/>
    <w:rsid w:val="009D6D1F"/>
    <w:rsid w:val="009E105C"/>
    <w:rsid w:val="009E4BE9"/>
    <w:rsid w:val="009E50E6"/>
    <w:rsid w:val="009E5888"/>
    <w:rsid w:val="009E6AEF"/>
    <w:rsid w:val="009F0446"/>
    <w:rsid w:val="009F12C0"/>
    <w:rsid w:val="009F299B"/>
    <w:rsid w:val="009F366C"/>
    <w:rsid w:val="009F52CB"/>
    <w:rsid w:val="009F5659"/>
    <w:rsid w:val="009F6974"/>
    <w:rsid w:val="009F6C56"/>
    <w:rsid w:val="009F714F"/>
    <w:rsid w:val="00A0039E"/>
    <w:rsid w:val="00A01035"/>
    <w:rsid w:val="00A01A41"/>
    <w:rsid w:val="00A01CA1"/>
    <w:rsid w:val="00A0353A"/>
    <w:rsid w:val="00A03C31"/>
    <w:rsid w:val="00A0421F"/>
    <w:rsid w:val="00A0517E"/>
    <w:rsid w:val="00A058D9"/>
    <w:rsid w:val="00A064D1"/>
    <w:rsid w:val="00A06DC8"/>
    <w:rsid w:val="00A07A84"/>
    <w:rsid w:val="00A10510"/>
    <w:rsid w:val="00A120B1"/>
    <w:rsid w:val="00A125AF"/>
    <w:rsid w:val="00A12A18"/>
    <w:rsid w:val="00A133D1"/>
    <w:rsid w:val="00A14F61"/>
    <w:rsid w:val="00A15C5A"/>
    <w:rsid w:val="00A1634C"/>
    <w:rsid w:val="00A17E48"/>
    <w:rsid w:val="00A21531"/>
    <w:rsid w:val="00A219CE"/>
    <w:rsid w:val="00A23352"/>
    <w:rsid w:val="00A2470A"/>
    <w:rsid w:val="00A31E20"/>
    <w:rsid w:val="00A322EF"/>
    <w:rsid w:val="00A339D8"/>
    <w:rsid w:val="00A33BB2"/>
    <w:rsid w:val="00A33F25"/>
    <w:rsid w:val="00A343DD"/>
    <w:rsid w:val="00A35F7B"/>
    <w:rsid w:val="00A36168"/>
    <w:rsid w:val="00A361AE"/>
    <w:rsid w:val="00A36927"/>
    <w:rsid w:val="00A415C7"/>
    <w:rsid w:val="00A41A67"/>
    <w:rsid w:val="00A43609"/>
    <w:rsid w:val="00A436FA"/>
    <w:rsid w:val="00A43C8E"/>
    <w:rsid w:val="00A44203"/>
    <w:rsid w:val="00A47185"/>
    <w:rsid w:val="00A5110C"/>
    <w:rsid w:val="00A51598"/>
    <w:rsid w:val="00A515B2"/>
    <w:rsid w:val="00A51A93"/>
    <w:rsid w:val="00A54D42"/>
    <w:rsid w:val="00A57B03"/>
    <w:rsid w:val="00A57CA4"/>
    <w:rsid w:val="00A60992"/>
    <w:rsid w:val="00A60A46"/>
    <w:rsid w:val="00A611B0"/>
    <w:rsid w:val="00A62F8B"/>
    <w:rsid w:val="00A64AAB"/>
    <w:rsid w:val="00A65158"/>
    <w:rsid w:val="00A6543E"/>
    <w:rsid w:val="00A66054"/>
    <w:rsid w:val="00A66336"/>
    <w:rsid w:val="00A66939"/>
    <w:rsid w:val="00A7080C"/>
    <w:rsid w:val="00A712F2"/>
    <w:rsid w:val="00A71A13"/>
    <w:rsid w:val="00A71C23"/>
    <w:rsid w:val="00A71E59"/>
    <w:rsid w:val="00A72285"/>
    <w:rsid w:val="00A725BD"/>
    <w:rsid w:val="00A7415C"/>
    <w:rsid w:val="00A75A9C"/>
    <w:rsid w:val="00A762EE"/>
    <w:rsid w:val="00A8047F"/>
    <w:rsid w:val="00A80D83"/>
    <w:rsid w:val="00A81A64"/>
    <w:rsid w:val="00A823EF"/>
    <w:rsid w:val="00A83C1C"/>
    <w:rsid w:val="00A85047"/>
    <w:rsid w:val="00A8612C"/>
    <w:rsid w:val="00A8637B"/>
    <w:rsid w:val="00A86792"/>
    <w:rsid w:val="00A87B7C"/>
    <w:rsid w:val="00A90456"/>
    <w:rsid w:val="00A907CB"/>
    <w:rsid w:val="00A90858"/>
    <w:rsid w:val="00A9368D"/>
    <w:rsid w:val="00A94182"/>
    <w:rsid w:val="00A943D0"/>
    <w:rsid w:val="00A949B4"/>
    <w:rsid w:val="00A9507D"/>
    <w:rsid w:val="00A955DC"/>
    <w:rsid w:val="00A95CC6"/>
    <w:rsid w:val="00A9702C"/>
    <w:rsid w:val="00AA0849"/>
    <w:rsid w:val="00AA0FB3"/>
    <w:rsid w:val="00AA2451"/>
    <w:rsid w:val="00AA380A"/>
    <w:rsid w:val="00AA3BD1"/>
    <w:rsid w:val="00AA51C4"/>
    <w:rsid w:val="00AA54E0"/>
    <w:rsid w:val="00AA5C5A"/>
    <w:rsid w:val="00AA5E4F"/>
    <w:rsid w:val="00AB03E8"/>
    <w:rsid w:val="00AB05EC"/>
    <w:rsid w:val="00AB172A"/>
    <w:rsid w:val="00AB1EEC"/>
    <w:rsid w:val="00AB23C3"/>
    <w:rsid w:val="00AB23E1"/>
    <w:rsid w:val="00AB2C87"/>
    <w:rsid w:val="00AB361E"/>
    <w:rsid w:val="00AB3BB8"/>
    <w:rsid w:val="00AB3FBA"/>
    <w:rsid w:val="00AB41C2"/>
    <w:rsid w:val="00AB4AED"/>
    <w:rsid w:val="00AB51D4"/>
    <w:rsid w:val="00AB5442"/>
    <w:rsid w:val="00AB6B71"/>
    <w:rsid w:val="00AB7381"/>
    <w:rsid w:val="00AC0B6F"/>
    <w:rsid w:val="00AC0EC6"/>
    <w:rsid w:val="00AC1543"/>
    <w:rsid w:val="00AC305D"/>
    <w:rsid w:val="00AC3441"/>
    <w:rsid w:val="00AC410E"/>
    <w:rsid w:val="00AC53C9"/>
    <w:rsid w:val="00AC5D7D"/>
    <w:rsid w:val="00AC751F"/>
    <w:rsid w:val="00AD1D1E"/>
    <w:rsid w:val="00AD2D99"/>
    <w:rsid w:val="00AD324E"/>
    <w:rsid w:val="00AD48D1"/>
    <w:rsid w:val="00AD5D78"/>
    <w:rsid w:val="00AD7353"/>
    <w:rsid w:val="00AD776C"/>
    <w:rsid w:val="00AE131D"/>
    <w:rsid w:val="00AE1B90"/>
    <w:rsid w:val="00AE22F9"/>
    <w:rsid w:val="00AE2343"/>
    <w:rsid w:val="00AE496C"/>
    <w:rsid w:val="00AE56EE"/>
    <w:rsid w:val="00AE76B4"/>
    <w:rsid w:val="00AE7887"/>
    <w:rsid w:val="00AF00B1"/>
    <w:rsid w:val="00AF1774"/>
    <w:rsid w:val="00AF330A"/>
    <w:rsid w:val="00AF3745"/>
    <w:rsid w:val="00AF56E2"/>
    <w:rsid w:val="00AF57CA"/>
    <w:rsid w:val="00AF605B"/>
    <w:rsid w:val="00AF7A08"/>
    <w:rsid w:val="00AF7A54"/>
    <w:rsid w:val="00B0193D"/>
    <w:rsid w:val="00B01EF4"/>
    <w:rsid w:val="00B03B0C"/>
    <w:rsid w:val="00B03D07"/>
    <w:rsid w:val="00B04426"/>
    <w:rsid w:val="00B04466"/>
    <w:rsid w:val="00B04981"/>
    <w:rsid w:val="00B05334"/>
    <w:rsid w:val="00B10F5B"/>
    <w:rsid w:val="00B13E24"/>
    <w:rsid w:val="00B14E5E"/>
    <w:rsid w:val="00B15BC0"/>
    <w:rsid w:val="00B16F6B"/>
    <w:rsid w:val="00B1778A"/>
    <w:rsid w:val="00B17A32"/>
    <w:rsid w:val="00B21D9B"/>
    <w:rsid w:val="00B220B2"/>
    <w:rsid w:val="00B2274E"/>
    <w:rsid w:val="00B236C2"/>
    <w:rsid w:val="00B237F0"/>
    <w:rsid w:val="00B2390D"/>
    <w:rsid w:val="00B23F1C"/>
    <w:rsid w:val="00B25718"/>
    <w:rsid w:val="00B26872"/>
    <w:rsid w:val="00B305FB"/>
    <w:rsid w:val="00B31A30"/>
    <w:rsid w:val="00B331D4"/>
    <w:rsid w:val="00B33371"/>
    <w:rsid w:val="00B34151"/>
    <w:rsid w:val="00B34709"/>
    <w:rsid w:val="00B368F0"/>
    <w:rsid w:val="00B37F0A"/>
    <w:rsid w:val="00B40A01"/>
    <w:rsid w:val="00B41373"/>
    <w:rsid w:val="00B419E7"/>
    <w:rsid w:val="00B41A8F"/>
    <w:rsid w:val="00B42148"/>
    <w:rsid w:val="00B421EF"/>
    <w:rsid w:val="00B4401B"/>
    <w:rsid w:val="00B44A0D"/>
    <w:rsid w:val="00B4690B"/>
    <w:rsid w:val="00B47CB4"/>
    <w:rsid w:val="00B47D79"/>
    <w:rsid w:val="00B5289E"/>
    <w:rsid w:val="00B53727"/>
    <w:rsid w:val="00B53AC2"/>
    <w:rsid w:val="00B557DE"/>
    <w:rsid w:val="00B55A98"/>
    <w:rsid w:val="00B55B90"/>
    <w:rsid w:val="00B60518"/>
    <w:rsid w:val="00B62BBA"/>
    <w:rsid w:val="00B63B5E"/>
    <w:rsid w:val="00B648F0"/>
    <w:rsid w:val="00B657BA"/>
    <w:rsid w:val="00B6612D"/>
    <w:rsid w:val="00B66791"/>
    <w:rsid w:val="00B66A21"/>
    <w:rsid w:val="00B71848"/>
    <w:rsid w:val="00B72426"/>
    <w:rsid w:val="00B73381"/>
    <w:rsid w:val="00B73CFD"/>
    <w:rsid w:val="00B7510C"/>
    <w:rsid w:val="00B75A93"/>
    <w:rsid w:val="00B75D19"/>
    <w:rsid w:val="00B764FD"/>
    <w:rsid w:val="00B76CFF"/>
    <w:rsid w:val="00B7732D"/>
    <w:rsid w:val="00B80BEF"/>
    <w:rsid w:val="00B80FDE"/>
    <w:rsid w:val="00B811D6"/>
    <w:rsid w:val="00B816D5"/>
    <w:rsid w:val="00B82361"/>
    <w:rsid w:val="00B8374F"/>
    <w:rsid w:val="00B8444B"/>
    <w:rsid w:val="00B84A5B"/>
    <w:rsid w:val="00B84F32"/>
    <w:rsid w:val="00B86D7E"/>
    <w:rsid w:val="00B87DE1"/>
    <w:rsid w:val="00B913CD"/>
    <w:rsid w:val="00B915E2"/>
    <w:rsid w:val="00B930B0"/>
    <w:rsid w:val="00B951C8"/>
    <w:rsid w:val="00B97CB7"/>
    <w:rsid w:val="00BA022F"/>
    <w:rsid w:val="00BA09B0"/>
    <w:rsid w:val="00BA173A"/>
    <w:rsid w:val="00BA1BBC"/>
    <w:rsid w:val="00BA1DB7"/>
    <w:rsid w:val="00BA260B"/>
    <w:rsid w:val="00BA3738"/>
    <w:rsid w:val="00BA39D8"/>
    <w:rsid w:val="00BA43B2"/>
    <w:rsid w:val="00BA4896"/>
    <w:rsid w:val="00BA4FCA"/>
    <w:rsid w:val="00BA71E8"/>
    <w:rsid w:val="00BA7723"/>
    <w:rsid w:val="00BB09C3"/>
    <w:rsid w:val="00BB46F8"/>
    <w:rsid w:val="00BB62F2"/>
    <w:rsid w:val="00BB6FA7"/>
    <w:rsid w:val="00BC0EE4"/>
    <w:rsid w:val="00BC1A90"/>
    <w:rsid w:val="00BC3193"/>
    <w:rsid w:val="00BC3D8B"/>
    <w:rsid w:val="00BC57FF"/>
    <w:rsid w:val="00BC59A9"/>
    <w:rsid w:val="00BC5F66"/>
    <w:rsid w:val="00BC76E1"/>
    <w:rsid w:val="00BC7917"/>
    <w:rsid w:val="00BC793B"/>
    <w:rsid w:val="00BC7BFF"/>
    <w:rsid w:val="00BC7CF5"/>
    <w:rsid w:val="00BC7DEF"/>
    <w:rsid w:val="00BD004E"/>
    <w:rsid w:val="00BD1D47"/>
    <w:rsid w:val="00BD1F72"/>
    <w:rsid w:val="00BD2CD6"/>
    <w:rsid w:val="00BD2D1D"/>
    <w:rsid w:val="00BD6EEF"/>
    <w:rsid w:val="00BD7A73"/>
    <w:rsid w:val="00BE3A0E"/>
    <w:rsid w:val="00BE431B"/>
    <w:rsid w:val="00BE4D3C"/>
    <w:rsid w:val="00BE514E"/>
    <w:rsid w:val="00BE559B"/>
    <w:rsid w:val="00BE64F2"/>
    <w:rsid w:val="00BE789C"/>
    <w:rsid w:val="00BF06BE"/>
    <w:rsid w:val="00BF14BF"/>
    <w:rsid w:val="00BF23AD"/>
    <w:rsid w:val="00BF3D4A"/>
    <w:rsid w:val="00BF5A3B"/>
    <w:rsid w:val="00BF638C"/>
    <w:rsid w:val="00BF674C"/>
    <w:rsid w:val="00BF706B"/>
    <w:rsid w:val="00BF7659"/>
    <w:rsid w:val="00C017E5"/>
    <w:rsid w:val="00C01899"/>
    <w:rsid w:val="00C0194E"/>
    <w:rsid w:val="00C0314A"/>
    <w:rsid w:val="00C03F59"/>
    <w:rsid w:val="00C04596"/>
    <w:rsid w:val="00C07A5D"/>
    <w:rsid w:val="00C10AFD"/>
    <w:rsid w:val="00C11862"/>
    <w:rsid w:val="00C12EC0"/>
    <w:rsid w:val="00C14923"/>
    <w:rsid w:val="00C16B98"/>
    <w:rsid w:val="00C175C8"/>
    <w:rsid w:val="00C17FA8"/>
    <w:rsid w:val="00C20C14"/>
    <w:rsid w:val="00C22F3B"/>
    <w:rsid w:val="00C24FB8"/>
    <w:rsid w:val="00C25D31"/>
    <w:rsid w:val="00C27251"/>
    <w:rsid w:val="00C30B75"/>
    <w:rsid w:val="00C30F77"/>
    <w:rsid w:val="00C3188B"/>
    <w:rsid w:val="00C31973"/>
    <w:rsid w:val="00C31D49"/>
    <w:rsid w:val="00C347EC"/>
    <w:rsid w:val="00C350A6"/>
    <w:rsid w:val="00C365D8"/>
    <w:rsid w:val="00C369C6"/>
    <w:rsid w:val="00C37006"/>
    <w:rsid w:val="00C37E91"/>
    <w:rsid w:val="00C40C12"/>
    <w:rsid w:val="00C411FD"/>
    <w:rsid w:val="00C433E1"/>
    <w:rsid w:val="00C43802"/>
    <w:rsid w:val="00C445E5"/>
    <w:rsid w:val="00C447E2"/>
    <w:rsid w:val="00C44B22"/>
    <w:rsid w:val="00C44D21"/>
    <w:rsid w:val="00C452B9"/>
    <w:rsid w:val="00C46051"/>
    <w:rsid w:val="00C46839"/>
    <w:rsid w:val="00C4745C"/>
    <w:rsid w:val="00C4783B"/>
    <w:rsid w:val="00C519CE"/>
    <w:rsid w:val="00C560F7"/>
    <w:rsid w:val="00C60A24"/>
    <w:rsid w:val="00C60C60"/>
    <w:rsid w:val="00C61351"/>
    <w:rsid w:val="00C62066"/>
    <w:rsid w:val="00C62B48"/>
    <w:rsid w:val="00C635DE"/>
    <w:rsid w:val="00C636A6"/>
    <w:rsid w:val="00C63832"/>
    <w:rsid w:val="00C64812"/>
    <w:rsid w:val="00C667E9"/>
    <w:rsid w:val="00C67902"/>
    <w:rsid w:val="00C707F4"/>
    <w:rsid w:val="00C71F34"/>
    <w:rsid w:val="00C74B29"/>
    <w:rsid w:val="00C74C7B"/>
    <w:rsid w:val="00C74C84"/>
    <w:rsid w:val="00C74EA9"/>
    <w:rsid w:val="00C75648"/>
    <w:rsid w:val="00C76383"/>
    <w:rsid w:val="00C77E5F"/>
    <w:rsid w:val="00C80190"/>
    <w:rsid w:val="00C8085E"/>
    <w:rsid w:val="00C81D2B"/>
    <w:rsid w:val="00C826CB"/>
    <w:rsid w:val="00C826E9"/>
    <w:rsid w:val="00C82EEE"/>
    <w:rsid w:val="00C84396"/>
    <w:rsid w:val="00C86CD3"/>
    <w:rsid w:val="00C87A2E"/>
    <w:rsid w:val="00C91329"/>
    <w:rsid w:val="00C92195"/>
    <w:rsid w:val="00C92BBC"/>
    <w:rsid w:val="00C931E9"/>
    <w:rsid w:val="00C93ADB"/>
    <w:rsid w:val="00C946AB"/>
    <w:rsid w:val="00C95204"/>
    <w:rsid w:val="00C96371"/>
    <w:rsid w:val="00C9759F"/>
    <w:rsid w:val="00CA1090"/>
    <w:rsid w:val="00CA113C"/>
    <w:rsid w:val="00CA2289"/>
    <w:rsid w:val="00CA3C23"/>
    <w:rsid w:val="00CA4480"/>
    <w:rsid w:val="00CA56F1"/>
    <w:rsid w:val="00CA59D3"/>
    <w:rsid w:val="00CA6D77"/>
    <w:rsid w:val="00CA6E3E"/>
    <w:rsid w:val="00CA6FE4"/>
    <w:rsid w:val="00CB0C1F"/>
    <w:rsid w:val="00CB1DCB"/>
    <w:rsid w:val="00CB2CB2"/>
    <w:rsid w:val="00CB357E"/>
    <w:rsid w:val="00CB35B0"/>
    <w:rsid w:val="00CB40D7"/>
    <w:rsid w:val="00CB595C"/>
    <w:rsid w:val="00CB5F0F"/>
    <w:rsid w:val="00CB6723"/>
    <w:rsid w:val="00CB7B1B"/>
    <w:rsid w:val="00CB7CED"/>
    <w:rsid w:val="00CC01BB"/>
    <w:rsid w:val="00CC0C4D"/>
    <w:rsid w:val="00CC111D"/>
    <w:rsid w:val="00CC1C81"/>
    <w:rsid w:val="00CC1F78"/>
    <w:rsid w:val="00CC288B"/>
    <w:rsid w:val="00CC36EE"/>
    <w:rsid w:val="00CC39A9"/>
    <w:rsid w:val="00CC48E2"/>
    <w:rsid w:val="00CC520E"/>
    <w:rsid w:val="00CC655B"/>
    <w:rsid w:val="00CC6716"/>
    <w:rsid w:val="00CC6ADA"/>
    <w:rsid w:val="00CC7AC1"/>
    <w:rsid w:val="00CC7D82"/>
    <w:rsid w:val="00CD3D46"/>
    <w:rsid w:val="00CD3FB6"/>
    <w:rsid w:val="00CD4AD5"/>
    <w:rsid w:val="00CD678B"/>
    <w:rsid w:val="00CE2E50"/>
    <w:rsid w:val="00CE2FD4"/>
    <w:rsid w:val="00CE43AC"/>
    <w:rsid w:val="00CE602C"/>
    <w:rsid w:val="00CE6941"/>
    <w:rsid w:val="00CF1943"/>
    <w:rsid w:val="00CF1ACF"/>
    <w:rsid w:val="00CF1BFF"/>
    <w:rsid w:val="00CF1DBD"/>
    <w:rsid w:val="00CF4AA9"/>
    <w:rsid w:val="00CF5BF4"/>
    <w:rsid w:val="00CF5FFE"/>
    <w:rsid w:val="00CF640F"/>
    <w:rsid w:val="00CF6757"/>
    <w:rsid w:val="00CF72FB"/>
    <w:rsid w:val="00CF7C88"/>
    <w:rsid w:val="00D01028"/>
    <w:rsid w:val="00D01959"/>
    <w:rsid w:val="00D0197E"/>
    <w:rsid w:val="00D04ECD"/>
    <w:rsid w:val="00D05FC2"/>
    <w:rsid w:val="00D10CE1"/>
    <w:rsid w:val="00D11677"/>
    <w:rsid w:val="00D14AD7"/>
    <w:rsid w:val="00D16071"/>
    <w:rsid w:val="00D1645D"/>
    <w:rsid w:val="00D16648"/>
    <w:rsid w:val="00D208A9"/>
    <w:rsid w:val="00D20D18"/>
    <w:rsid w:val="00D22374"/>
    <w:rsid w:val="00D22F24"/>
    <w:rsid w:val="00D24A0A"/>
    <w:rsid w:val="00D25365"/>
    <w:rsid w:val="00D269DE"/>
    <w:rsid w:val="00D26CFF"/>
    <w:rsid w:val="00D27098"/>
    <w:rsid w:val="00D277EA"/>
    <w:rsid w:val="00D279E5"/>
    <w:rsid w:val="00D30105"/>
    <w:rsid w:val="00D30491"/>
    <w:rsid w:val="00D30E8D"/>
    <w:rsid w:val="00D317C0"/>
    <w:rsid w:val="00D31EAD"/>
    <w:rsid w:val="00D333AA"/>
    <w:rsid w:val="00D35149"/>
    <w:rsid w:val="00D35EF3"/>
    <w:rsid w:val="00D36DB9"/>
    <w:rsid w:val="00D405EC"/>
    <w:rsid w:val="00D40A6A"/>
    <w:rsid w:val="00D416B5"/>
    <w:rsid w:val="00D42212"/>
    <w:rsid w:val="00D42251"/>
    <w:rsid w:val="00D43432"/>
    <w:rsid w:val="00D43FBE"/>
    <w:rsid w:val="00D444F7"/>
    <w:rsid w:val="00D44CEE"/>
    <w:rsid w:val="00D4505F"/>
    <w:rsid w:val="00D452A4"/>
    <w:rsid w:val="00D47727"/>
    <w:rsid w:val="00D50308"/>
    <w:rsid w:val="00D50AA0"/>
    <w:rsid w:val="00D518F9"/>
    <w:rsid w:val="00D51999"/>
    <w:rsid w:val="00D51AC1"/>
    <w:rsid w:val="00D5245D"/>
    <w:rsid w:val="00D526DB"/>
    <w:rsid w:val="00D53C63"/>
    <w:rsid w:val="00D53F5C"/>
    <w:rsid w:val="00D5433E"/>
    <w:rsid w:val="00D556BF"/>
    <w:rsid w:val="00D6081F"/>
    <w:rsid w:val="00D61BC6"/>
    <w:rsid w:val="00D61D4F"/>
    <w:rsid w:val="00D63B21"/>
    <w:rsid w:val="00D63EF4"/>
    <w:rsid w:val="00D647E7"/>
    <w:rsid w:val="00D65228"/>
    <w:rsid w:val="00D72FA3"/>
    <w:rsid w:val="00D72FA8"/>
    <w:rsid w:val="00D73349"/>
    <w:rsid w:val="00D751B5"/>
    <w:rsid w:val="00D75352"/>
    <w:rsid w:val="00D76541"/>
    <w:rsid w:val="00D778FD"/>
    <w:rsid w:val="00D807BC"/>
    <w:rsid w:val="00D80CD1"/>
    <w:rsid w:val="00D828A6"/>
    <w:rsid w:val="00D83AAA"/>
    <w:rsid w:val="00D83C96"/>
    <w:rsid w:val="00D842E8"/>
    <w:rsid w:val="00D84DFA"/>
    <w:rsid w:val="00D8526D"/>
    <w:rsid w:val="00D8598A"/>
    <w:rsid w:val="00D87054"/>
    <w:rsid w:val="00D87B55"/>
    <w:rsid w:val="00D90563"/>
    <w:rsid w:val="00D915DC"/>
    <w:rsid w:val="00D91640"/>
    <w:rsid w:val="00D9279B"/>
    <w:rsid w:val="00D93019"/>
    <w:rsid w:val="00D93869"/>
    <w:rsid w:val="00D93A78"/>
    <w:rsid w:val="00D97674"/>
    <w:rsid w:val="00DA14A8"/>
    <w:rsid w:val="00DA3BAD"/>
    <w:rsid w:val="00DA4AEA"/>
    <w:rsid w:val="00DA63E1"/>
    <w:rsid w:val="00DA6D4D"/>
    <w:rsid w:val="00DB04A6"/>
    <w:rsid w:val="00DB0616"/>
    <w:rsid w:val="00DB1937"/>
    <w:rsid w:val="00DB1E57"/>
    <w:rsid w:val="00DB221F"/>
    <w:rsid w:val="00DB2B64"/>
    <w:rsid w:val="00DB43FB"/>
    <w:rsid w:val="00DB47FD"/>
    <w:rsid w:val="00DB5838"/>
    <w:rsid w:val="00DB64AD"/>
    <w:rsid w:val="00DB76DC"/>
    <w:rsid w:val="00DC1664"/>
    <w:rsid w:val="00DC21CC"/>
    <w:rsid w:val="00DC286A"/>
    <w:rsid w:val="00DC4132"/>
    <w:rsid w:val="00DC48B5"/>
    <w:rsid w:val="00DC52B9"/>
    <w:rsid w:val="00DC6324"/>
    <w:rsid w:val="00DC6689"/>
    <w:rsid w:val="00DC6E29"/>
    <w:rsid w:val="00DC7FC9"/>
    <w:rsid w:val="00DD49EE"/>
    <w:rsid w:val="00DD4E46"/>
    <w:rsid w:val="00DD614C"/>
    <w:rsid w:val="00DE1A21"/>
    <w:rsid w:val="00DE264D"/>
    <w:rsid w:val="00DF019A"/>
    <w:rsid w:val="00DF33DE"/>
    <w:rsid w:val="00DF5737"/>
    <w:rsid w:val="00DF65CB"/>
    <w:rsid w:val="00DF751B"/>
    <w:rsid w:val="00E002C6"/>
    <w:rsid w:val="00E019D0"/>
    <w:rsid w:val="00E02144"/>
    <w:rsid w:val="00E0283C"/>
    <w:rsid w:val="00E029D0"/>
    <w:rsid w:val="00E032E8"/>
    <w:rsid w:val="00E03972"/>
    <w:rsid w:val="00E03E78"/>
    <w:rsid w:val="00E04682"/>
    <w:rsid w:val="00E051E7"/>
    <w:rsid w:val="00E06C2F"/>
    <w:rsid w:val="00E06FB2"/>
    <w:rsid w:val="00E0767F"/>
    <w:rsid w:val="00E10453"/>
    <w:rsid w:val="00E1082A"/>
    <w:rsid w:val="00E12318"/>
    <w:rsid w:val="00E126F5"/>
    <w:rsid w:val="00E15584"/>
    <w:rsid w:val="00E16715"/>
    <w:rsid w:val="00E21C82"/>
    <w:rsid w:val="00E22451"/>
    <w:rsid w:val="00E2337B"/>
    <w:rsid w:val="00E240E0"/>
    <w:rsid w:val="00E246B8"/>
    <w:rsid w:val="00E26A9F"/>
    <w:rsid w:val="00E27572"/>
    <w:rsid w:val="00E309EA"/>
    <w:rsid w:val="00E30E81"/>
    <w:rsid w:val="00E31489"/>
    <w:rsid w:val="00E32C3D"/>
    <w:rsid w:val="00E3446F"/>
    <w:rsid w:val="00E35180"/>
    <w:rsid w:val="00E357B6"/>
    <w:rsid w:val="00E35957"/>
    <w:rsid w:val="00E361BF"/>
    <w:rsid w:val="00E368D3"/>
    <w:rsid w:val="00E378D3"/>
    <w:rsid w:val="00E37C4C"/>
    <w:rsid w:val="00E40DA9"/>
    <w:rsid w:val="00E4245D"/>
    <w:rsid w:val="00E4268C"/>
    <w:rsid w:val="00E438DA"/>
    <w:rsid w:val="00E43A89"/>
    <w:rsid w:val="00E452B9"/>
    <w:rsid w:val="00E45888"/>
    <w:rsid w:val="00E473EF"/>
    <w:rsid w:val="00E4740A"/>
    <w:rsid w:val="00E47872"/>
    <w:rsid w:val="00E51C75"/>
    <w:rsid w:val="00E5241A"/>
    <w:rsid w:val="00E54868"/>
    <w:rsid w:val="00E54FFF"/>
    <w:rsid w:val="00E5567C"/>
    <w:rsid w:val="00E55AD5"/>
    <w:rsid w:val="00E56B40"/>
    <w:rsid w:val="00E6130D"/>
    <w:rsid w:val="00E6145D"/>
    <w:rsid w:val="00E61755"/>
    <w:rsid w:val="00E62238"/>
    <w:rsid w:val="00E622B5"/>
    <w:rsid w:val="00E6249A"/>
    <w:rsid w:val="00E62541"/>
    <w:rsid w:val="00E62C5C"/>
    <w:rsid w:val="00E63F10"/>
    <w:rsid w:val="00E66F12"/>
    <w:rsid w:val="00E67538"/>
    <w:rsid w:val="00E67544"/>
    <w:rsid w:val="00E70029"/>
    <w:rsid w:val="00E7004D"/>
    <w:rsid w:val="00E70995"/>
    <w:rsid w:val="00E71198"/>
    <w:rsid w:val="00E718D4"/>
    <w:rsid w:val="00E73B93"/>
    <w:rsid w:val="00E740D1"/>
    <w:rsid w:val="00E74913"/>
    <w:rsid w:val="00E7568A"/>
    <w:rsid w:val="00E76B80"/>
    <w:rsid w:val="00E8067A"/>
    <w:rsid w:val="00E8109D"/>
    <w:rsid w:val="00E81127"/>
    <w:rsid w:val="00E8123B"/>
    <w:rsid w:val="00E81858"/>
    <w:rsid w:val="00E82401"/>
    <w:rsid w:val="00E83CA2"/>
    <w:rsid w:val="00E84623"/>
    <w:rsid w:val="00E84693"/>
    <w:rsid w:val="00E8518E"/>
    <w:rsid w:val="00E85529"/>
    <w:rsid w:val="00E86765"/>
    <w:rsid w:val="00E878B4"/>
    <w:rsid w:val="00E9306D"/>
    <w:rsid w:val="00E93431"/>
    <w:rsid w:val="00E940DB"/>
    <w:rsid w:val="00E953F9"/>
    <w:rsid w:val="00E97202"/>
    <w:rsid w:val="00E97A81"/>
    <w:rsid w:val="00EA0079"/>
    <w:rsid w:val="00EA0864"/>
    <w:rsid w:val="00EA2002"/>
    <w:rsid w:val="00EA3870"/>
    <w:rsid w:val="00EA3A08"/>
    <w:rsid w:val="00EA5484"/>
    <w:rsid w:val="00EA54DF"/>
    <w:rsid w:val="00EA5E71"/>
    <w:rsid w:val="00EA6B5B"/>
    <w:rsid w:val="00EA7BF1"/>
    <w:rsid w:val="00EB09C6"/>
    <w:rsid w:val="00EB2333"/>
    <w:rsid w:val="00EB24D3"/>
    <w:rsid w:val="00EB24D5"/>
    <w:rsid w:val="00EB2B92"/>
    <w:rsid w:val="00EB4C67"/>
    <w:rsid w:val="00EB642A"/>
    <w:rsid w:val="00EB6949"/>
    <w:rsid w:val="00EB7011"/>
    <w:rsid w:val="00EC0751"/>
    <w:rsid w:val="00EC362F"/>
    <w:rsid w:val="00EC43D6"/>
    <w:rsid w:val="00EC58F2"/>
    <w:rsid w:val="00EC5DE3"/>
    <w:rsid w:val="00EC67FF"/>
    <w:rsid w:val="00EC69C0"/>
    <w:rsid w:val="00ED0D8F"/>
    <w:rsid w:val="00ED0E3C"/>
    <w:rsid w:val="00ED150D"/>
    <w:rsid w:val="00ED2101"/>
    <w:rsid w:val="00ED3D64"/>
    <w:rsid w:val="00ED4A49"/>
    <w:rsid w:val="00ED4B4B"/>
    <w:rsid w:val="00ED67A9"/>
    <w:rsid w:val="00ED6CF5"/>
    <w:rsid w:val="00EE032C"/>
    <w:rsid w:val="00EE0C4C"/>
    <w:rsid w:val="00EE139C"/>
    <w:rsid w:val="00EE1AD7"/>
    <w:rsid w:val="00EE29D2"/>
    <w:rsid w:val="00EE2E8B"/>
    <w:rsid w:val="00EE3266"/>
    <w:rsid w:val="00EE416C"/>
    <w:rsid w:val="00EF236A"/>
    <w:rsid w:val="00EF258C"/>
    <w:rsid w:val="00EF37DF"/>
    <w:rsid w:val="00F0016E"/>
    <w:rsid w:val="00F001B1"/>
    <w:rsid w:val="00F004BA"/>
    <w:rsid w:val="00F00F1D"/>
    <w:rsid w:val="00F035FF"/>
    <w:rsid w:val="00F03D40"/>
    <w:rsid w:val="00F03DBD"/>
    <w:rsid w:val="00F056F8"/>
    <w:rsid w:val="00F057D5"/>
    <w:rsid w:val="00F0586F"/>
    <w:rsid w:val="00F058DE"/>
    <w:rsid w:val="00F05940"/>
    <w:rsid w:val="00F071EF"/>
    <w:rsid w:val="00F10A9A"/>
    <w:rsid w:val="00F10AC8"/>
    <w:rsid w:val="00F113F4"/>
    <w:rsid w:val="00F1191C"/>
    <w:rsid w:val="00F1249B"/>
    <w:rsid w:val="00F13D48"/>
    <w:rsid w:val="00F15264"/>
    <w:rsid w:val="00F156A8"/>
    <w:rsid w:val="00F156EA"/>
    <w:rsid w:val="00F16081"/>
    <w:rsid w:val="00F161DB"/>
    <w:rsid w:val="00F16654"/>
    <w:rsid w:val="00F17A74"/>
    <w:rsid w:val="00F20671"/>
    <w:rsid w:val="00F20F16"/>
    <w:rsid w:val="00F2111F"/>
    <w:rsid w:val="00F2374F"/>
    <w:rsid w:val="00F251A4"/>
    <w:rsid w:val="00F25235"/>
    <w:rsid w:val="00F25648"/>
    <w:rsid w:val="00F271D9"/>
    <w:rsid w:val="00F275FB"/>
    <w:rsid w:val="00F27C8E"/>
    <w:rsid w:val="00F27CD1"/>
    <w:rsid w:val="00F30BDA"/>
    <w:rsid w:val="00F30E69"/>
    <w:rsid w:val="00F313ED"/>
    <w:rsid w:val="00F31474"/>
    <w:rsid w:val="00F35FD0"/>
    <w:rsid w:val="00F366EE"/>
    <w:rsid w:val="00F376C8"/>
    <w:rsid w:val="00F3797F"/>
    <w:rsid w:val="00F4242D"/>
    <w:rsid w:val="00F45F75"/>
    <w:rsid w:val="00F46BF6"/>
    <w:rsid w:val="00F46D39"/>
    <w:rsid w:val="00F50A21"/>
    <w:rsid w:val="00F51DB7"/>
    <w:rsid w:val="00F54478"/>
    <w:rsid w:val="00F5447E"/>
    <w:rsid w:val="00F55589"/>
    <w:rsid w:val="00F56D44"/>
    <w:rsid w:val="00F57321"/>
    <w:rsid w:val="00F60D53"/>
    <w:rsid w:val="00F60E95"/>
    <w:rsid w:val="00F61106"/>
    <w:rsid w:val="00F6285D"/>
    <w:rsid w:val="00F62FF7"/>
    <w:rsid w:val="00F63857"/>
    <w:rsid w:val="00F63F61"/>
    <w:rsid w:val="00F6557A"/>
    <w:rsid w:val="00F655DB"/>
    <w:rsid w:val="00F65BEF"/>
    <w:rsid w:val="00F6663F"/>
    <w:rsid w:val="00F67177"/>
    <w:rsid w:val="00F6717B"/>
    <w:rsid w:val="00F703C9"/>
    <w:rsid w:val="00F703CC"/>
    <w:rsid w:val="00F70839"/>
    <w:rsid w:val="00F721E4"/>
    <w:rsid w:val="00F7266D"/>
    <w:rsid w:val="00F72EF0"/>
    <w:rsid w:val="00F73008"/>
    <w:rsid w:val="00F73D7B"/>
    <w:rsid w:val="00F75981"/>
    <w:rsid w:val="00F7619C"/>
    <w:rsid w:val="00F76895"/>
    <w:rsid w:val="00F7795D"/>
    <w:rsid w:val="00F77A64"/>
    <w:rsid w:val="00F8068E"/>
    <w:rsid w:val="00F810FC"/>
    <w:rsid w:val="00F817B6"/>
    <w:rsid w:val="00F81BE8"/>
    <w:rsid w:val="00F82A4F"/>
    <w:rsid w:val="00F8387B"/>
    <w:rsid w:val="00F83AB8"/>
    <w:rsid w:val="00F83B3B"/>
    <w:rsid w:val="00F84491"/>
    <w:rsid w:val="00F855B1"/>
    <w:rsid w:val="00F86C4F"/>
    <w:rsid w:val="00F878D5"/>
    <w:rsid w:val="00F904A5"/>
    <w:rsid w:val="00F9133C"/>
    <w:rsid w:val="00F925A3"/>
    <w:rsid w:val="00F92AB1"/>
    <w:rsid w:val="00F92C7F"/>
    <w:rsid w:val="00F94D42"/>
    <w:rsid w:val="00F950F3"/>
    <w:rsid w:val="00F9575E"/>
    <w:rsid w:val="00F95C96"/>
    <w:rsid w:val="00F97B5D"/>
    <w:rsid w:val="00F97FF6"/>
    <w:rsid w:val="00FA0D9D"/>
    <w:rsid w:val="00FA14D7"/>
    <w:rsid w:val="00FA298C"/>
    <w:rsid w:val="00FA400E"/>
    <w:rsid w:val="00FA4F1F"/>
    <w:rsid w:val="00FA554E"/>
    <w:rsid w:val="00FA5745"/>
    <w:rsid w:val="00FA7AFB"/>
    <w:rsid w:val="00FA7DA2"/>
    <w:rsid w:val="00FB14E8"/>
    <w:rsid w:val="00FB1B3B"/>
    <w:rsid w:val="00FB1E67"/>
    <w:rsid w:val="00FB547A"/>
    <w:rsid w:val="00FB5724"/>
    <w:rsid w:val="00FB6452"/>
    <w:rsid w:val="00FB6490"/>
    <w:rsid w:val="00FB6B83"/>
    <w:rsid w:val="00FB7732"/>
    <w:rsid w:val="00FC131F"/>
    <w:rsid w:val="00FC3003"/>
    <w:rsid w:val="00FC31AD"/>
    <w:rsid w:val="00FC41DE"/>
    <w:rsid w:val="00FC5241"/>
    <w:rsid w:val="00FC6504"/>
    <w:rsid w:val="00FD1AE1"/>
    <w:rsid w:val="00FD32BA"/>
    <w:rsid w:val="00FD3A92"/>
    <w:rsid w:val="00FD60C5"/>
    <w:rsid w:val="00FD62FD"/>
    <w:rsid w:val="00FD69C6"/>
    <w:rsid w:val="00FE0373"/>
    <w:rsid w:val="00FE06B1"/>
    <w:rsid w:val="00FE1D30"/>
    <w:rsid w:val="00FE1D4D"/>
    <w:rsid w:val="00FE3318"/>
    <w:rsid w:val="00FE381F"/>
    <w:rsid w:val="00FE3E9B"/>
    <w:rsid w:val="00FE4252"/>
    <w:rsid w:val="00FE5BAF"/>
    <w:rsid w:val="00FE7F59"/>
    <w:rsid w:val="00FE7FE6"/>
    <w:rsid w:val="00FF2418"/>
    <w:rsid w:val="00FF2E30"/>
    <w:rsid w:val="00FF3C10"/>
    <w:rsid w:val="00FF3D62"/>
    <w:rsid w:val="00FF4804"/>
    <w:rsid w:val="00FF49BD"/>
    <w:rsid w:val="00FF53EA"/>
    <w:rsid w:val="00FF5A6E"/>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E"/>
    <w:pPr>
      <w:spacing w:after="120" w:line="260" w:lineRule="exact"/>
    </w:pPr>
    <w:rPr>
      <w:rFonts w:ascii="Arial" w:hAnsi="Arial" w:cs="Arial"/>
      <w:sz w:val="20"/>
      <w:szCs w:val="20"/>
    </w:rPr>
  </w:style>
  <w:style w:type="paragraph" w:styleId="Heading2">
    <w:name w:val="heading 2"/>
    <w:basedOn w:val="Normal"/>
    <w:next w:val="Normal"/>
    <w:link w:val="Heading2Char"/>
    <w:uiPriority w:val="9"/>
    <w:qFormat/>
    <w:rsid w:val="000B462C"/>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0B462C"/>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paragraph" w:styleId="Heading5">
    <w:name w:val="heading 5"/>
    <w:basedOn w:val="Normal"/>
    <w:next w:val="Normal"/>
    <w:link w:val="Heading5Char"/>
    <w:uiPriority w:val="9"/>
    <w:unhideWhenUsed/>
    <w:qFormat/>
    <w:rsid w:val="001760BC"/>
    <w:pPr>
      <w:keepNext/>
      <w:keepLines/>
      <w:spacing w:line="280" w:lineRule="exact"/>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B462C"/>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0B462C"/>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0B462C"/>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0B462C"/>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4024CE"/>
    <w:pPr>
      <w:ind w:left="720"/>
    </w:pPr>
    <w:rPr>
      <w:rFonts w:eastAsia="Calibri" w:cs="Times New Roman"/>
      <w:lang w:val="en-GB"/>
    </w:rPr>
  </w:style>
  <w:style w:type="paragraph" w:styleId="ListBullet4">
    <w:name w:val="List Bullet 4"/>
    <w:basedOn w:val="Normal"/>
    <w:uiPriority w:val="99"/>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1760BC"/>
    <w:rPr>
      <w:rFonts w:ascii="Arial" w:eastAsiaTheme="majorEastAsia" w:hAnsi="Arial" w:cstheme="majorBidi"/>
      <w:b/>
      <w:szCs w:val="20"/>
    </w:rPr>
  </w:style>
  <w:style w:type="paragraph" w:styleId="Revision">
    <w:name w:val="Revision"/>
    <w:hidden/>
    <w:uiPriority w:val="99"/>
    <w:semiHidden/>
    <w:rsid w:val="00334649"/>
    <w:pPr>
      <w:spacing w:after="0" w:line="240" w:lineRule="auto"/>
    </w:pPr>
    <w:rPr>
      <w:rFonts w:ascii="Arial" w:hAnsi="Arial" w:cs="Arial"/>
      <w:sz w:val="20"/>
      <w:szCs w:val="20"/>
    </w:rPr>
  </w:style>
  <w:style w:type="paragraph" w:customStyle="1" w:styleId="bodytext">
    <w:name w:val="bodytext"/>
    <w:basedOn w:val="Normal"/>
    <w:uiPriority w:val="99"/>
    <w:rsid w:val="00602C7F"/>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342796">
      <w:bodyDiv w:val="1"/>
      <w:marLeft w:val="0"/>
      <w:marRight w:val="0"/>
      <w:marTop w:val="0"/>
      <w:marBottom w:val="0"/>
      <w:divBdr>
        <w:top w:val="none" w:sz="0" w:space="0" w:color="auto"/>
        <w:left w:val="none" w:sz="0" w:space="0" w:color="auto"/>
        <w:bottom w:val="none" w:sz="0" w:space="0" w:color="auto"/>
        <w:right w:val="none" w:sz="0" w:space="0" w:color="auto"/>
      </w:divBdr>
    </w:div>
    <w:div w:id="770396723">
      <w:bodyDiv w:val="1"/>
      <w:marLeft w:val="0"/>
      <w:marRight w:val="0"/>
      <w:marTop w:val="0"/>
      <w:marBottom w:val="0"/>
      <w:divBdr>
        <w:top w:val="none" w:sz="0" w:space="0" w:color="auto"/>
        <w:left w:val="none" w:sz="0" w:space="0" w:color="auto"/>
        <w:bottom w:val="none" w:sz="0" w:space="0" w:color="auto"/>
        <w:right w:val="none" w:sz="0" w:space="0" w:color="auto"/>
      </w:divBdr>
    </w:div>
    <w:div w:id="943607459">
      <w:bodyDiv w:val="1"/>
      <w:marLeft w:val="0"/>
      <w:marRight w:val="0"/>
      <w:marTop w:val="0"/>
      <w:marBottom w:val="0"/>
      <w:divBdr>
        <w:top w:val="none" w:sz="0" w:space="0" w:color="auto"/>
        <w:left w:val="none" w:sz="0" w:space="0" w:color="auto"/>
        <w:bottom w:val="none" w:sz="0" w:space="0" w:color="auto"/>
        <w:right w:val="none" w:sz="0" w:space="0" w:color="auto"/>
      </w:divBdr>
    </w:div>
    <w:div w:id="1077170527">
      <w:bodyDiv w:val="1"/>
      <w:marLeft w:val="0"/>
      <w:marRight w:val="0"/>
      <w:marTop w:val="0"/>
      <w:marBottom w:val="0"/>
      <w:divBdr>
        <w:top w:val="none" w:sz="0" w:space="0" w:color="auto"/>
        <w:left w:val="none" w:sz="0" w:space="0" w:color="auto"/>
        <w:bottom w:val="none" w:sz="0" w:space="0" w:color="auto"/>
        <w:right w:val="none" w:sz="0" w:space="0" w:color="auto"/>
      </w:divBdr>
    </w:div>
    <w:div w:id="1155681535">
      <w:bodyDiv w:val="1"/>
      <w:marLeft w:val="0"/>
      <w:marRight w:val="0"/>
      <w:marTop w:val="0"/>
      <w:marBottom w:val="0"/>
      <w:divBdr>
        <w:top w:val="none" w:sz="0" w:space="0" w:color="auto"/>
        <w:left w:val="none" w:sz="0" w:space="0" w:color="auto"/>
        <w:bottom w:val="none" w:sz="0" w:space="0" w:color="auto"/>
        <w:right w:val="none" w:sz="0" w:space="0" w:color="auto"/>
      </w:divBdr>
    </w:div>
    <w:div w:id="1407150735">
      <w:bodyDiv w:val="1"/>
      <w:marLeft w:val="0"/>
      <w:marRight w:val="0"/>
      <w:marTop w:val="0"/>
      <w:marBottom w:val="0"/>
      <w:divBdr>
        <w:top w:val="none" w:sz="0" w:space="0" w:color="auto"/>
        <w:left w:val="none" w:sz="0" w:space="0" w:color="auto"/>
        <w:bottom w:val="none" w:sz="0" w:space="0" w:color="auto"/>
        <w:right w:val="none" w:sz="0" w:space="0" w:color="auto"/>
      </w:divBdr>
    </w:div>
    <w:div w:id="1738241568">
      <w:bodyDiv w:val="1"/>
      <w:marLeft w:val="0"/>
      <w:marRight w:val="0"/>
      <w:marTop w:val="0"/>
      <w:marBottom w:val="0"/>
      <w:divBdr>
        <w:top w:val="none" w:sz="0" w:space="0" w:color="auto"/>
        <w:left w:val="none" w:sz="0" w:space="0" w:color="auto"/>
        <w:bottom w:val="none" w:sz="0" w:space="0" w:color="auto"/>
        <w:right w:val="none" w:sz="0" w:space="0" w:color="auto"/>
      </w:divBdr>
    </w:div>
    <w:div w:id="1990480025">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1B99-AB2F-4D4F-B945-3910AA6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2365</Words>
  <Characters>13485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2020-09-25T02:24:00Z</cp:lastPrinted>
  <dcterms:created xsi:type="dcterms:W3CDTF">2021-02-15T05:22:00Z</dcterms:created>
  <dcterms:modified xsi:type="dcterms:W3CDTF">2021-02-15T23:39:00Z</dcterms:modified>
</cp:coreProperties>
</file>